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7D" w:rsidRPr="00CB57C1" w:rsidRDefault="0064107D" w:rsidP="0064107D">
      <w:pPr>
        <w:pStyle w:val="NormalWeb"/>
        <w:jc w:val="center"/>
        <w:rPr>
          <w:rFonts w:asciiTheme="minorHAnsi" w:hAnsiTheme="minorHAnsi"/>
          <w:b/>
        </w:rPr>
      </w:pPr>
      <w:r w:rsidRPr="00CB57C1">
        <w:rPr>
          <w:rFonts w:asciiTheme="minorHAnsi" w:hAnsiTheme="minorHAnsi"/>
          <w:b/>
        </w:rPr>
        <w:t xml:space="preserve">State Bar of California </w:t>
      </w:r>
    </w:p>
    <w:p w:rsidR="0064107D" w:rsidRPr="00CB57C1" w:rsidRDefault="0064107D" w:rsidP="0064107D">
      <w:pPr>
        <w:pStyle w:val="NormalWeb"/>
        <w:jc w:val="center"/>
        <w:rPr>
          <w:rFonts w:asciiTheme="minorHAnsi" w:hAnsiTheme="minorHAnsi"/>
          <w:b/>
        </w:rPr>
      </w:pPr>
      <w:r w:rsidRPr="00CB57C1">
        <w:rPr>
          <w:rFonts w:asciiTheme="minorHAnsi" w:hAnsiTheme="minorHAnsi"/>
          <w:b/>
        </w:rPr>
        <w:t>2+2+3</w:t>
      </w:r>
    </w:p>
    <w:p w:rsidR="00911BDC" w:rsidRPr="00CB57C1" w:rsidRDefault="00911BDC" w:rsidP="00911BDC">
      <w:pPr>
        <w:pStyle w:val="NormalWeb"/>
        <w:rPr>
          <w:rFonts w:asciiTheme="minorHAnsi" w:hAnsiTheme="minorHAnsi"/>
        </w:rPr>
      </w:pPr>
      <w:r w:rsidRPr="00CB57C1">
        <w:rPr>
          <w:rFonts w:asciiTheme="minorHAnsi" w:hAnsiTheme="minorHAnsi"/>
        </w:rPr>
        <w:t xml:space="preserve">The State Bar of California cordially invites each California Community College to submit a Letter of Interest for consideration to be among 20 selected colleges to participate in an innovative diversity outreach pipeline initiative: Community College Pathway to Law School.  </w:t>
      </w:r>
      <w:r w:rsidR="00CB57C1" w:rsidRPr="00CB57C1">
        <w:rPr>
          <w:rFonts w:asciiTheme="minorHAnsi" w:hAnsiTheme="minorHAnsi"/>
          <w:b/>
        </w:rPr>
        <w:t>The letter is due Monday, 9 December 2013 at 5PM.</w:t>
      </w:r>
    </w:p>
    <w:p w:rsidR="0064107D" w:rsidRPr="00CB57C1" w:rsidRDefault="0064107D" w:rsidP="00911BDC">
      <w:pPr>
        <w:pStyle w:val="NormalWeb"/>
        <w:rPr>
          <w:rFonts w:asciiTheme="minorHAnsi" w:hAnsiTheme="minorHAnsi"/>
        </w:rPr>
      </w:pPr>
      <w:r w:rsidRPr="00CB57C1">
        <w:rPr>
          <w:rFonts w:asciiTheme="minorHAnsi" w:hAnsiTheme="minorHAnsi"/>
        </w:rPr>
        <w:t xml:space="preserve">Under the Community College Pathway to Law School initiative, students who meet certain requirements (courses at CC and 4 year, GPA, and LSAT) from these 20 selected California Community Colleges may be granted guaranteed admission or given </w:t>
      </w:r>
      <w:r w:rsidRPr="00CB57C1">
        <w:rPr>
          <w:rFonts w:asciiTheme="minorHAnsi" w:hAnsiTheme="minorHAnsi"/>
          <w:u w:val="single"/>
        </w:rPr>
        <w:t>priority enrollment to at least four top accredited law schools in California, including UC Davis, USC, University of Santa Clara, and Irvine.</w:t>
      </w:r>
      <w:r w:rsidRPr="00CB57C1">
        <w:rPr>
          <w:rFonts w:asciiTheme="minorHAnsi" w:hAnsiTheme="minorHAnsi"/>
        </w:rPr>
        <w:t xml:space="preserve"> (Due to the number of applications, additional law schools have been asked to participate).</w:t>
      </w:r>
      <w:r w:rsidR="00911BDC" w:rsidRPr="00CB57C1">
        <w:rPr>
          <w:rFonts w:asciiTheme="minorHAnsi" w:hAnsiTheme="minorHAnsi"/>
        </w:rPr>
        <w:t> </w:t>
      </w:r>
    </w:p>
    <w:tbl>
      <w:tblPr>
        <w:tblStyle w:val="TableGrid"/>
        <w:tblW w:w="0" w:type="auto"/>
        <w:jc w:val="center"/>
        <w:tblLook w:val="04A0"/>
      </w:tblPr>
      <w:tblGrid>
        <w:gridCol w:w="4788"/>
        <w:gridCol w:w="4788"/>
      </w:tblGrid>
      <w:tr w:rsidR="0064107D" w:rsidRPr="00CB57C1" w:rsidTr="00CB57C1">
        <w:trPr>
          <w:jc w:val="center"/>
        </w:trPr>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Required Course Patter</w:t>
            </w:r>
          </w:p>
        </w:tc>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BCC Course</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Street Law, Street Law-based, OR Law and Democracy</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POLSCI 6</w:t>
            </w:r>
          </w:p>
          <w:p w:rsidR="0064107D" w:rsidRPr="00CB57C1" w:rsidRDefault="0064107D" w:rsidP="00911BDC">
            <w:pPr>
              <w:pStyle w:val="NormalWeb"/>
              <w:rPr>
                <w:rFonts w:asciiTheme="minorHAnsi" w:hAnsiTheme="minorHAnsi"/>
              </w:rPr>
            </w:pPr>
            <w:r w:rsidRPr="00CB57C1">
              <w:rPr>
                <w:rFonts w:asciiTheme="minorHAnsi" w:hAnsiTheme="minorHAnsi"/>
              </w:rPr>
              <w:t>SOC 8</w:t>
            </w:r>
          </w:p>
          <w:p w:rsidR="0064107D" w:rsidRPr="00CB57C1" w:rsidRDefault="0064107D" w:rsidP="00911BDC">
            <w:pPr>
              <w:pStyle w:val="NormalWeb"/>
              <w:rPr>
                <w:rFonts w:asciiTheme="minorHAnsi" w:hAnsiTheme="minorHAnsi"/>
              </w:rPr>
            </w:pPr>
            <w:r w:rsidRPr="00CB57C1">
              <w:rPr>
                <w:rFonts w:asciiTheme="minorHAnsi" w:hAnsiTheme="minorHAnsi"/>
              </w:rPr>
              <w:t>BUS 2</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English Composition</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ENG 1A</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 xml:space="preserve">Critical Thinking </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ENG 5</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Argumentation and Debate OR Persuasion</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PHILO 10</w:t>
            </w:r>
          </w:p>
        </w:tc>
      </w:tr>
      <w:tr w:rsidR="0064107D" w:rsidRPr="00CB57C1" w:rsidTr="00CB57C1">
        <w:trPr>
          <w:jc w:val="center"/>
        </w:trPr>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Statistics</w:t>
            </w:r>
          </w:p>
        </w:tc>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BCC Course</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US History</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HIST 7A/7B</w:t>
            </w:r>
          </w:p>
        </w:tc>
      </w:tr>
      <w:tr w:rsidR="0064107D" w:rsidRPr="00CB57C1" w:rsidTr="00CB57C1">
        <w:trPr>
          <w:jc w:val="center"/>
        </w:trPr>
        <w:tc>
          <w:tcPr>
            <w:tcW w:w="4788" w:type="dxa"/>
          </w:tcPr>
          <w:p w:rsidR="0064107D" w:rsidRPr="00CB57C1" w:rsidRDefault="0064107D" w:rsidP="0064107D">
            <w:pPr>
              <w:pStyle w:val="NormalWeb"/>
              <w:rPr>
                <w:rFonts w:asciiTheme="minorHAnsi" w:hAnsiTheme="minorHAnsi"/>
              </w:rPr>
            </w:pPr>
            <w:r w:rsidRPr="00CB57C1">
              <w:rPr>
                <w:rFonts w:asciiTheme="minorHAnsi" w:hAnsiTheme="minorHAnsi"/>
              </w:rPr>
              <w:t>Intro to American Government</w:t>
            </w:r>
          </w:p>
        </w:tc>
        <w:tc>
          <w:tcPr>
            <w:tcW w:w="4788" w:type="dxa"/>
          </w:tcPr>
          <w:p w:rsidR="0064107D" w:rsidRPr="00CB57C1" w:rsidRDefault="0064107D" w:rsidP="0064107D">
            <w:pPr>
              <w:pStyle w:val="NormalWeb"/>
              <w:rPr>
                <w:rFonts w:asciiTheme="minorHAnsi" w:hAnsiTheme="minorHAnsi"/>
              </w:rPr>
            </w:pPr>
            <w:r w:rsidRPr="00CB57C1">
              <w:rPr>
                <w:rFonts w:asciiTheme="minorHAnsi" w:hAnsiTheme="minorHAnsi"/>
              </w:rPr>
              <w:t>POLSCI 1</w:t>
            </w:r>
          </w:p>
        </w:tc>
      </w:tr>
      <w:tr w:rsidR="0064107D" w:rsidRPr="00CB57C1" w:rsidTr="00CB57C1">
        <w:trPr>
          <w:jc w:val="center"/>
        </w:trPr>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Recommended</w:t>
            </w:r>
          </w:p>
        </w:tc>
        <w:tc>
          <w:tcPr>
            <w:tcW w:w="4788" w:type="dxa"/>
          </w:tcPr>
          <w:p w:rsidR="0064107D" w:rsidRPr="00CB57C1" w:rsidRDefault="0064107D" w:rsidP="0064107D">
            <w:pPr>
              <w:pStyle w:val="NormalWeb"/>
              <w:jc w:val="center"/>
              <w:rPr>
                <w:rFonts w:asciiTheme="minorHAnsi" w:hAnsiTheme="minorHAnsi"/>
                <w:b/>
              </w:rPr>
            </w:pPr>
            <w:r w:rsidRPr="00CB57C1">
              <w:rPr>
                <w:rFonts w:asciiTheme="minorHAnsi" w:hAnsiTheme="minorHAnsi"/>
                <w:b/>
              </w:rPr>
              <w:t>BCC Course</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Service/Civic Learning</w:t>
            </w:r>
          </w:p>
        </w:tc>
        <w:tc>
          <w:tcPr>
            <w:tcW w:w="4788" w:type="dxa"/>
          </w:tcPr>
          <w:p w:rsidR="0064107D" w:rsidRPr="00CB57C1" w:rsidRDefault="00CB57C1" w:rsidP="00911BDC">
            <w:pPr>
              <w:pStyle w:val="NormalWeb"/>
              <w:rPr>
                <w:rFonts w:asciiTheme="minorHAnsi" w:hAnsiTheme="minorHAnsi"/>
              </w:rPr>
            </w:pPr>
            <w:r>
              <w:rPr>
                <w:rFonts w:asciiTheme="minorHAnsi" w:hAnsiTheme="minorHAnsi"/>
              </w:rPr>
              <w:t>COPED 450</w:t>
            </w:r>
          </w:p>
        </w:tc>
      </w:tr>
      <w:tr w:rsidR="0064107D" w:rsidRPr="00CB57C1" w:rsidTr="00CB57C1">
        <w:trPr>
          <w:jc w:val="center"/>
        </w:trPr>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 xml:space="preserve">College Success </w:t>
            </w:r>
          </w:p>
        </w:tc>
        <w:tc>
          <w:tcPr>
            <w:tcW w:w="4788" w:type="dxa"/>
          </w:tcPr>
          <w:p w:rsidR="0064107D" w:rsidRPr="00CB57C1" w:rsidRDefault="0064107D" w:rsidP="00911BDC">
            <w:pPr>
              <w:pStyle w:val="NormalWeb"/>
              <w:rPr>
                <w:rFonts w:asciiTheme="minorHAnsi" w:hAnsiTheme="minorHAnsi"/>
              </w:rPr>
            </w:pPr>
            <w:r w:rsidRPr="00CB57C1">
              <w:rPr>
                <w:rFonts w:asciiTheme="minorHAnsi" w:hAnsiTheme="minorHAnsi"/>
              </w:rPr>
              <w:t>COUN 24</w:t>
            </w:r>
          </w:p>
        </w:tc>
      </w:tr>
    </w:tbl>
    <w:p w:rsidR="00911BDC" w:rsidRPr="00CB57C1" w:rsidRDefault="0064107D" w:rsidP="00911BDC">
      <w:pPr>
        <w:pStyle w:val="NormalWeb"/>
        <w:rPr>
          <w:rFonts w:asciiTheme="minorHAnsi" w:hAnsiTheme="minorHAnsi"/>
        </w:rPr>
      </w:pPr>
      <w:r w:rsidRPr="00CB57C1">
        <w:rPr>
          <w:rFonts w:asciiTheme="minorHAnsi" w:hAnsiTheme="minorHAnsi"/>
        </w:rPr>
        <w:t>In addition to committing to teach the above in 2014-15 to 2023-2024, leaders in the following area would have to be identified to champion the project at BCC:</w:t>
      </w:r>
    </w:p>
    <w:p w:rsidR="0064107D" w:rsidRPr="00CB57C1" w:rsidRDefault="0064107D" w:rsidP="0064107D">
      <w:pPr>
        <w:pStyle w:val="NormalWeb"/>
        <w:numPr>
          <w:ilvl w:val="0"/>
          <w:numId w:val="1"/>
        </w:numPr>
        <w:rPr>
          <w:rFonts w:asciiTheme="minorHAnsi" w:hAnsiTheme="minorHAnsi"/>
        </w:rPr>
      </w:pPr>
      <w:r w:rsidRPr="00CB57C1">
        <w:rPr>
          <w:rFonts w:asciiTheme="minorHAnsi" w:hAnsiTheme="minorHAnsi"/>
        </w:rPr>
        <w:t>Counseling Faculty</w:t>
      </w:r>
    </w:p>
    <w:p w:rsidR="0064107D" w:rsidRPr="00CB57C1" w:rsidRDefault="0064107D" w:rsidP="0064107D">
      <w:pPr>
        <w:pStyle w:val="NormalWeb"/>
        <w:numPr>
          <w:ilvl w:val="0"/>
          <w:numId w:val="1"/>
        </w:numPr>
        <w:rPr>
          <w:rFonts w:asciiTheme="minorHAnsi" w:hAnsiTheme="minorHAnsi"/>
        </w:rPr>
      </w:pPr>
      <w:r w:rsidRPr="00CB57C1">
        <w:rPr>
          <w:rFonts w:asciiTheme="minorHAnsi" w:hAnsiTheme="minorHAnsi"/>
        </w:rPr>
        <w:t>Instructional Faculty</w:t>
      </w:r>
    </w:p>
    <w:p w:rsidR="0064107D" w:rsidRPr="00CB57C1" w:rsidRDefault="0064107D" w:rsidP="0064107D">
      <w:pPr>
        <w:pStyle w:val="NormalWeb"/>
        <w:numPr>
          <w:ilvl w:val="0"/>
          <w:numId w:val="1"/>
        </w:numPr>
        <w:rPr>
          <w:rFonts w:asciiTheme="minorHAnsi" w:hAnsiTheme="minorHAnsi"/>
        </w:rPr>
      </w:pPr>
      <w:r w:rsidRPr="00CB57C1">
        <w:rPr>
          <w:rFonts w:asciiTheme="minorHAnsi" w:hAnsiTheme="minorHAnsi"/>
        </w:rPr>
        <w:t>Student</w:t>
      </w:r>
    </w:p>
    <w:p w:rsidR="0064107D" w:rsidRPr="00CB57C1" w:rsidRDefault="0064107D" w:rsidP="0064107D">
      <w:pPr>
        <w:pStyle w:val="NormalWeb"/>
        <w:numPr>
          <w:ilvl w:val="0"/>
          <w:numId w:val="1"/>
        </w:numPr>
        <w:rPr>
          <w:rFonts w:asciiTheme="minorHAnsi" w:hAnsiTheme="minorHAnsi"/>
        </w:rPr>
      </w:pPr>
      <w:r w:rsidRPr="00CB57C1">
        <w:rPr>
          <w:rFonts w:asciiTheme="minorHAnsi" w:hAnsiTheme="minorHAnsi"/>
        </w:rPr>
        <w:t>Administrator</w:t>
      </w:r>
    </w:p>
    <w:p w:rsidR="00911BDC" w:rsidRPr="00CB57C1" w:rsidRDefault="00911BDC" w:rsidP="00911BDC">
      <w:pPr>
        <w:pStyle w:val="NormalWeb"/>
        <w:rPr>
          <w:rFonts w:asciiTheme="minorHAnsi" w:hAnsiTheme="minorHAnsi"/>
        </w:rPr>
      </w:pPr>
      <w:r w:rsidRPr="00CB57C1">
        <w:rPr>
          <w:rFonts w:asciiTheme="minorHAnsi" w:hAnsiTheme="minorHAnsi"/>
        </w:rPr>
        <w:t>The Council on Access &amp; Fairness also produced two videos (full-length and abridged) that feature prominent judges and lawyers who attended community colleges.  These videos were distributed to all California community colleges by the Community College League of California on Law Day, May 1, 2013.  When You Dream ... Community College - Pathway to Law School</w:t>
      </w:r>
      <w:proofErr w:type="gramStart"/>
      <w:r w:rsidRPr="00CB57C1">
        <w:rPr>
          <w:rFonts w:asciiTheme="minorHAnsi" w:hAnsiTheme="minorHAnsi"/>
        </w:rPr>
        <w:t>  (</w:t>
      </w:r>
      <w:proofErr w:type="gramEnd"/>
      <w:hyperlink r:id="rId5" w:tgtFrame="_blank" w:history="1">
        <w:r w:rsidRPr="00CB57C1">
          <w:rPr>
            <w:rStyle w:val="Hyperlink"/>
            <w:rFonts w:asciiTheme="minorHAnsi" w:hAnsiTheme="minorHAnsi"/>
          </w:rPr>
          <w:t>https://sites.google.com/site/calbardream/</w:t>
        </w:r>
      </w:hyperlink>
      <w:r w:rsidRPr="00CB57C1">
        <w:rPr>
          <w:rFonts w:asciiTheme="minorHAnsi" w:hAnsiTheme="minorHAnsi"/>
        </w:rPr>
        <w:t>)</w:t>
      </w:r>
    </w:p>
    <w:p w:rsidR="00CB57C1" w:rsidRPr="00CB57C1" w:rsidRDefault="00CB57C1" w:rsidP="00CB57C1">
      <w:pPr>
        <w:pStyle w:val="NormalWeb"/>
        <w:rPr>
          <w:rFonts w:asciiTheme="minorHAnsi" w:hAnsiTheme="minorHAnsi"/>
        </w:rPr>
      </w:pPr>
      <w:r w:rsidRPr="00CB57C1">
        <w:rPr>
          <w:rFonts w:asciiTheme="minorHAnsi" w:hAnsiTheme="minorHAnsi"/>
        </w:rPr>
        <w:t xml:space="preserve">Please do not hesitate to contact Katherine Bergman with any questions or interest, </w:t>
      </w:r>
      <w:hyperlink r:id="rId6" w:history="1">
        <w:r w:rsidRPr="00CB57C1">
          <w:rPr>
            <w:rStyle w:val="Hyperlink"/>
            <w:rFonts w:asciiTheme="minorHAnsi" w:hAnsiTheme="minorHAnsi"/>
          </w:rPr>
          <w:t>mbergman@peralta.edu</w:t>
        </w:r>
      </w:hyperlink>
      <w:r w:rsidRPr="00CB57C1">
        <w:rPr>
          <w:rFonts w:asciiTheme="minorHAnsi" w:hAnsiTheme="minorHAnsi"/>
        </w:rPr>
        <w:t xml:space="preserve"> </w:t>
      </w:r>
    </w:p>
    <w:p w:rsidR="006640A8" w:rsidRPr="00CB57C1" w:rsidRDefault="006640A8"/>
    <w:sectPr w:rsidR="006640A8" w:rsidRPr="00CB57C1" w:rsidSect="00CB57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F268E"/>
    <w:multiLevelType w:val="hybridMultilevel"/>
    <w:tmpl w:val="C45C7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drawingGridHorizontalSpacing w:val="110"/>
  <w:displayHorizontalDrawingGridEvery w:val="2"/>
  <w:characterSpacingControl w:val="doNotCompress"/>
  <w:compat/>
  <w:rsids>
    <w:rsidRoot w:val="00911BDC"/>
    <w:rsid w:val="00355311"/>
    <w:rsid w:val="0064107D"/>
    <w:rsid w:val="006640A8"/>
    <w:rsid w:val="007A5B83"/>
    <w:rsid w:val="00911BDC"/>
    <w:rsid w:val="00CB57C1"/>
    <w:rsid w:val="00DD518E"/>
    <w:rsid w:val="00E15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BDC"/>
    <w:rPr>
      <w:color w:val="0000FF"/>
      <w:u w:val="single"/>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11BDC"/>
    <w:rPr>
      <w:color w:val="800080" w:themeColor="followedHyperlink"/>
      <w:u w:val="single"/>
    </w:rPr>
  </w:style>
  <w:style w:type="table" w:styleId="TableGrid">
    <w:name w:val="Table Grid"/>
    <w:basedOn w:val="TableNormal"/>
    <w:uiPriority w:val="59"/>
    <w:rsid w:val="0064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41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rgman@peralta.edu" TargetMode="External"/><Relationship Id="rId5" Type="http://schemas.openxmlformats.org/officeDocument/2006/relationships/hyperlink" Target="https://sites.google.com/site/calbardr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mbergman</dc:creator>
  <cp:keywords/>
  <dc:description/>
  <cp:lastModifiedBy>mbergman</cp:lastModifiedBy>
  <cp:revision>2</cp:revision>
  <cp:lastPrinted>2013-11-18T20:01:00Z</cp:lastPrinted>
  <dcterms:created xsi:type="dcterms:W3CDTF">2013-11-18T21:58:00Z</dcterms:created>
  <dcterms:modified xsi:type="dcterms:W3CDTF">2013-11-18T21:58:00Z</dcterms:modified>
</cp:coreProperties>
</file>