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C" w:rsidRDefault="00054FE9" w:rsidP="005D71AC">
      <w:pPr>
        <w:pBdr>
          <w:top w:val="double" w:sz="4" w:space="0" w:color="215868" w:themeColor="accent5" w:themeShade="80"/>
          <w:bottom w:val="double" w:sz="4" w:space="1" w:color="215868" w:themeColor="accent5" w:themeShade="80"/>
        </w:pBdr>
        <w:rPr>
          <w:rFonts w:ascii="Arial" w:eastAsia="Times New Roman" w:hAnsi="Arial" w:cs="Arial"/>
          <w:b/>
          <w:sz w:val="16"/>
          <w:szCs w:val="16"/>
        </w:rPr>
      </w:pPr>
      <w:r>
        <w:rPr>
          <w:rFonts w:ascii="Arial" w:eastAsia="Times New Roman" w:hAnsi="Arial" w:cs="Arial"/>
          <w:b/>
          <w:noProof/>
          <w:color w:val="006666"/>
          <w:sz w:val="48"/>
          <w:szCs w:val="4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70485</wp:posOffset>
                </wp:positionV>
                <wp:extent cx="6505575" cy="586105"/>
                <wp:effectExtent l="0" t="2540" r="952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6105"/>
                        </a:xfrm>
                        <a:prstGeom prst="rect">
                          <a:avLst/>
                        </a:prstGeom>
                        <a:gradFill rotWithShape="1">
                          <a:gsLst>
                            <a:gs pos="0">
                              <a:srgbClr val="008080"/>
                            </a:gs>
                            <a:gs pos="100000">
                              <a:srgbClr val="006666"/>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51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" fillcolor="teal" stroked="f" strokeweight="0">
                <v:fill color2="#066" rotate="t" focusposition=".5,.5" focussize="" focus="100%" type="gradientRadial"/>
                <v:shadow on="t" color="#205867 [1608]" offset="1pt"/>
                <v:textbo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v:textbox>
              </v:shape>
            </w:pict>
          </mc:Fallback>
        </mc:AlternateContent>
      </w:r>
    </w:p>
    <w:p w:rsidR="00CA73A1" w:rsidRPr="00CA73A1" w:rsidRDefault="00CA73A1" w:rsidP="003C1C65">
      <w:pPr>
        <w:pBdr>
          <w:top w:val="double" w:sz="4" w:space="0" w:color="215868" w:themeColor="accent5" w:themeShade="80"/>
          <w:bottom w:val="double" w:sz="4" w:space="1" w:color="215868" w:themeColor="accent5" w:themeShade="80"/>
        </w:pBdr>
        <w:jc w:val="center"/>
        <w:rPr>
          <w:rFonts w:ascii="Arial" w:eastAsia="Times New Roman" w:hAnsi="Arial" w:cs="Arial"/>
          <w:b/>
          <w:sz w:val="16"/>
          <w:szCs w:val="16"/>
        </w:rPr>
      </w:pPr>
    </w:p>
    <w:p w:rsidR="00E96D29" w:rsidRPr="00E96D29" w:rsidRDefault="003C1C65" w:rsidP="005D71AC">
      <w:pPr>
        <w:pBdr>
          <w:top w:val="double" w:sz="4" w:space="0" w:color="215868" w:themeColor="accent5" w:themeShade="80"/>
          <w:bottom w:val="double" w:sz="4" w:space="1" w:color="215868" w:themeColor="accent5" w:themeShade="80"/>
        </w:pBdr>
        <w:jc w:val="center"/>
        <w:rPr>
          <w:rFonts w:ascii="Albertus" w:eastAsia="Times New Roman" w:hAnsi="Albertus" w:cs="Arial"/>
          <w:b/>
          <w:color w:val="006666"/>
          <w:sz w:val="16"/>
          <w:szCs w:val="16"/>
        </w:rPr>
      </w:pPr>
      <w:r>
        <w:rPr>
          <w:rFonts w:ascii="Arial" w:eastAsia="Times New Roman" w:hAnsi="Arial" w:cs="Arial"/>
          <w:b/>
          <w:sz w:val="48"/>
          <w:szCs w:val="48"/>
        </w:rPr>
        <w:br/>
      </w:r>
    </w:p>
    <w:p w:rsidR="0089001E" w:rsidRPr="00C33F1C" w:rsidRDefault="0089001E" w:rsidP="003C1C65">
      <w:pPr>
        <w:rPr>
          <w:rFonts w:ascii="Arial" w:eastAsia="Times New Roman" w:hAnsi="Arial" w:cs="Arial"/>
          <w:color w:val="006666"/>
          <w:sz w:val="28"/>
          <w:szCs w:val="28"/>
        </w:rPr>
      </w:pPr>
    </w:p>
    <w:p w:rsidR="0089001E" w:rsidRPr="00E96D29" w:rsidRDefault="0089001E" w:rsidP="003C1C65">
      <w:pPr>
        <w:rPr>
          <w:rFonts w:ascii="Arial" w:eastAsia="Times New Roman" w:hAnsi="Arial" w:cs="Arial"/>
          <w:color w:val="006666"/>
          <w:sz w:val="16"/>
          <w:szCs w:val="16"/>
        </w:rPr>
      </w:pPr>
    </w:p>
    <w:p w:rsidR="0089001E" w:rsidRPr="00722833" w:rsidRDefault="0089001E" w:rsidP="003C1C65">
      <w:pPr>
        <w:rPr>
          <w:rFonts w:ascii="Arial" w:eastAsia="Times New Roman" w:hAnsi="Arial" w:cs="Arial"/>
          <w:color w:val="006666"/>
        </w:rPr>
      </w:pPr>
      <w:r w:rsidRPr="00722833">
        <w:rPr>
          <w:rFonts w:ascii="Albertus" w:eastAsia="Times New Roman" w:hAnsi="Albertus" w:cs="Arial"/>
          <w:b/>
          <w:color w:val="006666"/>
        </w:rPr>
        <w:t>To:</w:t>
      </w:r>
      <w:r w:rsidR="00C33F1C" w:rsidRPr="00722833">
        <w:rPr>
          <w:rFonts w:ascii="Arial" w:eastAsia="Times New Roman" w:hAnsi="Arial" w:cs="Arial"/>
          <w:color w:val="006666"/>
        </w:rPr>
        <w:tab/>
      </w:r>
      <w:r w:rsidR="008B3665" w:rsidRPr="00722833">
        <w:rPr>
          <w:rFonts w:ascii="Arial" w:eastAsia="Times New Roman" w:hAnsi="Arial" w:cs="Arial"/>
          <w:color w:val="006666"/>
        </w:rPr>
        <w:t xml:space="preserve">        </w:t>
      </w:r>
      <w:r w:rsidR="00054F34">
        <w:rPr>
          <w:rFonts w:ascii="Arial" w:eastAsia="Times New Roman" w:hAnsi="Arial" w:cs="Arial"/>
          <w:color w:val="006666"/>
        </w:rPr>
        <w:t>Faculty, Administration and Support Services</w:t>
      </w:r>
      <w:r w:rsidR="00C33F1C" w:rsidRPr="00722833">
        <w:rPr>
          <w:rFonts w:ascii="Arial" w:eastAsia="Times New Roman" w:hAnsi="Arial" w:cs="Arial"/>
          <w:color w:val="006666"/>
        </w:rPr>
        <w:tab/>
      </w:r>
    </w:p>
    <w:p w:rsidR="00C33F1C" w:rsidRPr="00722833" w:rsidRDefault="00C33F1C" w:rsidP="003C1C65">
      <w:pPr>
        <w:rPr>
          <w:rFonts w:ascii="Arial" w:eastAsia="Times New Roman" w:hAnsi="Arial" w:cs="Arial"/>
          <w:color w:val="006666"/>
        </w:rPr>
      </w:pPr>
    </w:p>
    <w:p w:rsidR="00C33F1C" w:rsidRPr="00722833" w:rsidRDefault="00C33F1C" w:rsidP="003C1C65">
      <w:pPr>
        <w:rPr>
          <w:rFonts w:ascii="Arial" w:eastAsia="Times New Roman" w:hAnsi="Arial" w:cs="Arial"/>
          <w:color w:val="006666"/>
        </w:rPr>
      </w:pPr>
      <w:r w:rsidRPr="00722833">
        <w:rPr>
          <w:rFonts w:ascii="Albertus" w:eastAsia="Times New Roman" w:hAnsi="Albertus" w:cs="Arial"/>
          <w:b/>
          <w:color w:val="006666"/>
        </w:rPr>
        <w:t>From:</w:t>
      </w:r>
      <w:r w:rsidRPr="00722833">
        <w:rPr>
          <w:rFonts w:ascii="Arial" w:eastAsia="Times New Roman" w:hAnsi="Arial" w:cs="Arial"/>
          <w:color w:val="006666"/>
        </w:rPr>
        <w:tab/>
      </w:r>
      <w:r w:rsidR="008C557E" w:rsidRP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Pr="00722833">
        <w:rPr>
          <w:rFonts w:ascii="Arial" w:eastAsia="Times New Roman" w:hAnsi="Arial" w:cs="Arial"/>
          <w:color w:val="006666"/>
        </w:rPr>
        <w:t xml:space="preserve">Shirley </w:t>
      </w:r>
      <w:r w:rsidR="003C1C65" w:rsidRPr="009A2597">
        <w:rPr>
          <w:rFonts w:ascii="Arial" w:eastAsia="Times New Roman" w:hAnsi="Arial" w:cs="Arial"/>
          <w:color w:val="365F91" w:themeColor="accent1" w:themeShade="BF"/>
        </w:rPr>
        <w:t>Slaughter</w:t>
      </w:r>
      <w:r w:rsidR="008B3665" w:rsidRPr="00722833">
        <w:rPr>
          <w:rFonts w:ascii="Arial" w:eastAsia="Times New Roman" w:hAnsi="Arial" w:cs="Arial"/>
          <w:color w:val="006666"/>
        </w:rPr>
        <w:t xml:space="preserve">, </w:t>
      </w:r>
      <w:r w:rsidR="00D56C62" w:rsidRPr="00722833">
        <w:rPr>
          <w:rFonts w:ascii="Arial" w:eastAsia="Times New Roman" w:hAnsi="Arial" w:cs="Arial"/>
          <w:color w:val="006666"/>
        </w:rPr>
        <w:t>Director of Business and Administrative Services</w:t>
      </w:r>
    </w:p>
    <w:p w:rsidR="00C33F1C" w:rsidRPr="00722833" w:rsidRDefault="00C33F1C" w:rsidP="003C1C65">
      <w:pPr>
        <w:rPr>
          <w:rFonts w:ascii="Arial" w:eastAsia="Times New Roman" w:hAnsi="Arial" w:cs="Arial"/>
          <w:color w:val="006666"/>
        </w:rPr>
      </w:pPr>
    </w:p>
    <w:p w:rsidR="00C33F1C" w:rsidRPr="00F44B4E" w:rsidRDefault="008B3665" w:rsidP="003C1C65">
      <w:pPr>
        <w:rPr>
          <w:rFonts w:ascii="Arial" w:eastAsia="Times New Roman" w:hAnsi="Arial" w:cs="Arial"/>
          <w:color w:val="17365D" w:themeColor="text2" w:themeShade="BF"/>
        </w:rPr>
      </w:pPr>
      <w:r w:rsidRPr="00722833">
        <w:rPr>
          <w:rFonts w:ascii="Albertus" w:eastAsia="Times New Roman" w:hAnsi="Albertus" w:cs="Arial"/>
          <w:b/>
          <w:color w:val="006666"/>
        </w:rPr>
        <w:t>Date</w:t>
      </w:r>
      <w:r w:rsidR="00C33F1C" w:rsidRPr="00722833">
        <w:rPr>
          <w:rFonts w:ascii="Albertus" w:eastAsia="Times New Roman" w:hAnsi="Albertus" w:cs="Arial"/>
          <w:b/>
          <w:color w:val="006666"/>
        </w:rPr>
        <w:t>:</w:t>
      </w:r>
      <w:r w:rsidR="00C33F1C" w:rsidRPr="00722833">
        <w:rPr>
          <w:rFonts w:ascii="Arial" w:eastAsia="Times New Roman" w:hAnsi="Arial" w:cs="Arial"/>
          <w:color w:val="006666"/>
        </w:rPr>
        <w:tab/>
      </w:r>
      <w:r w:rsidR="00054F34">
        <w:rPr>
          <w:rFonts w:ascii="Arial" w:eastAsia="Times New Roman" w:hAnsi="Arial" w:cs="Arial"/>
          <w:color w:val="006666"/>
        </w:rPr>
        <w:t xml:space="preserve">        </w:t>
      </w:r>
      <w:r w:rsidR="00D172ED">
        <w:rPr>
          <w:rFonts w:ascii="Arial" w:eastAsia="Times New Roman" w:hAnsi="Arial" w:cs="Arial"/>
          <w:color w:val="006666"/>
        </w:rPr>
        <w:t xml:space="preserve">February </w:t>
      </w:r>
      <w:r w:rsidR="00054F34">
        <w:rPr>
          <w:rFonts w:ascii="Arial" w:eastAsia="Times New Roman" w:hAnsi="Arial" w:cs="Arial"/>
          <w:color w:val="006666"/>
        </w:rPr>
        <w:t>26</w:t>
      </w:r>
      <w:r w:rsidR="00D172ED">
        <w:rPr>
          <w:rFonts w:ascii="Arial" w:eastAsia="Times New Roman" w:hAnsi="Arial" w:cs="Arial"/>
          <w:color w:val="006666"/>
        </w:rPr>
        <w:t>, 2015</w:t>
      </w:r>
    </w:p>
    <w:p w:rsidR="00C33F1C" w:rsidRPr="00722833" w:rsidRDefault="00C33F1C" w:rsidP="003C1C65">
      <w:pPr>
        <w:rPr>
          <w:rFonts w:ascii="Arial" w:eastAsia="Times New Roman" w:hAnsi="Arial" w:cs="Arial"/>
          <w:color w:val="006666"/>
        </w:rPr>
      </w:pPr>
    </w:p>
    <w:p w:rsidR="00C33F1C" w:rsidRPr="00722833" w:rsidRDefault="00C33F1C" w:rsidP="0089001E">
      <w:pPr>
        <w:rPr>
          <w:rFonts w:ascii="Arial" w:eastAsia="Times New Roman" w:hAnsi="Arial" w:cs="Arial"/>
          <w:color w:val="006666"/>
        </w:rPr>
      </w:pPr>
      <w:r w:rsidRPr="00722833">
        <w:rPr>
          <w:rFonts w:ascii="Albertus" w:eastAsia="Times New Roman" w:hAnsi="Albertus" w:cs="Arial"/>
          <w:b/>
          <w:color w:val="006666"/>
        </w:rPr>
        <w:t>Subject:</w:t>
      </w:r>
      <w:r w:rsidR="008B3665" w:rsidRPr="00722833">
        <w:rPr>
          <w:rFonts w:ascii="Albertus" w:eastAsia="Times New Roman" w:hAnsi="Albertus" w:cs="Arial"/>
          <w:b/>
          <w:color w:val="006666"/>
        </w:rPr>
        <w:t xml:space="preserve"> </w:t>
      </w:r>
      <w:r w:rsidR="008B3665" w:rsidRPr="00722833">
        <w:rPr>
          <w:rFonts w:ascii="Arial" w:eastAsia="Times New Roman" w:hAnsi="Arial" w:cs="Arial"/>
          <w:color w:val="006666"/>
        </w:rPr>
        <w:t xml:space="preserve">  </w:t>
      </w:r>
      <w:r w:rsid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00054F34">
        <w:rPr>
          <w:rFonts w:ascii="Arial" w:eastAsia="Times New Roman" w:hAnsi="Arial" w:cs="Arial"/>
          <w:color w:val="006666"/>
        </w:rPr>
        <w:t>Fiscal Year-End 2015 Closing Procedures</w:t>
      </w:r>
      <w:r w:rsidR="00222180">
        <w:rPr>
          <w:rFonts w:ascii="Arial" w:eastAsia="Times New Roman" w:hAnsi="Arial" w:cs="Arial"/>
          <w:color w:val="006666"/>
        </w:rPr>
        <w:pict>
          <v:rect id="_x0000_i1025" style="width:0;height:1.5pt" o:hralign="center" o:hrstd="t" o:hr="t" fillcolor="#aca899" stroked="f"/>
        </w:pict>
      </w:r>
    </w:p>
    <w:p w:rsidR="0008195A" w:rsidRDefault="0008195A" w:rsidP="00D56C62">
      <w:pPr>
        <w:rPr>
          <w:rFonts w:ascii="Arial" w:eastAsia="Times New Roman" w:hAnsi="Arial" w:cs="Arial"/>
          <w:color w:val="006666"/>
        </w:rPr>
      </w:pPr>
    </w:p>
    <w:p w:rsidR="00054F34" w:rsidRPr="00F44B4E" w:rsidRDefault="00054F34" w:rsidP="00D56C62">
      <w:pPr>
        <w:rPr>
          <w:rFonts w:ascii="Arial" w:eastAsia="Times New Roman" w:hAnsi="Arial" w:cs="Arial"/>
          <w:b/>
          <w:color w:val="17365D" w:themeColor="text2" w:themeShade="BF"/>
        </w:rPr>
      </w:pPr>
      <w:r w:rsidRPr="00F44B4E">
        <w:rPr>
          <w:rFonts w:ascii="Arial" w:eastAsia="Times New Roman" w:hAnsi="Arial" w:cs="Arial"/>
          <w:color w:val="17365D" w:themeColor="text2" w:themeShade="BF"/>
        </w:rPr>
        <w:t>This m</w:t>
      </w:r>
      <w:bookmarkStart w:id="0" w:name="_GoBack"/>
      <w:bookmarkEnd w:id="0"/>
      <w:r w:rsidRPr="00F44B4E">
        <w:rPr>
          <w:rFonts w:ascii="Arial" w:eastAsia="Times New Roman" w:hAnsi="Arial" w:cs="Arial"/>
          <w:color w:val="17365D" w:themeColor="text2" w:themeShade="BF"/>
        </w:rPr>
        <w:t xml:space="preserve">emorandum provides important dates for the fiscal year-end 2015 purchasing closing process.  </w:t>
      </w:r>
      <w:r w:rsidR="002B18C6" w:rsidRPr="00F44B4E">
        <w:rPr>
          <w:rFonts w:ascii="Arial" w:eastAsia="Times New Roman" w:hAnsi="Arial" w:cs="Arial"/>
          <w:color w:val="17365D" w:themeColor="text2" w:themeShade="BF"/>
        </w:rPr>
        <w:t>The year-end cut off dates may also be obtained on the BCC web site (</w:t>
      </w:r>
      <w:hyperlink r:id="rId9" w:history="1">
        <w:r w:rsidR="002B18C6" w:rsidRPr="00F44B4E">
          <w:rPr>
            <w:rStyle w:val="Hyperlink"/>
            <w:rFonts w:ascii="Arial" w:eastAsia="Times New Roman" w:hAnsi="Arial" w:cs="Arial"/>
            <w:color w:val="17365D" w:themeColor="text2" w:themeShade="BF"/>
          </w:rPr>
          <w:t>www.berkeleycitycollege.edu</w:t>
        </w:r>
      </w:hyperlink>
      <w:r w:rsidR="002B18C6" w:rsidRPr="00F44B4E">
        <w:rPr>
          <w:rFonts w:ascii="Arial" w:eastAsia="Times New Roman" w:hAnsi="Arial" w:cs="Arial"/>
          <w:color w:val="17365D" w:themeColor="text2" w:themeShade="BF"/>
        </w:rPr>
        <w:t xml:space="preserve">).  Click on </w:t>
      </w:r>
      <w:r w:rsidR="002B18C6" w:rsidRPr="00F44B4E">
        <w:rPr>
          <w:rFonts w:ascii="Arial" w:eastAsia="Times New Roman" w:hAnsi="Arial" w:cs="Arial"/>
          <w:b/>
          <w:color w:val="17365D" w:themeColor="text2" w:themeShade="BF"/>
        </w:rPr>
        <w:t xml:space="preserve">About BCC </w:t>
      </w:r>
      <w:r w:rsidR="002B18C6" w:rsidRPr="00F44B4E">
        <w:rPr>
          <w:rFonts w:ascii="Arial" w:eastAsia="Times New Roman" w:hAnsi="Arial" w:cs="Arial"/>
          <w:color w:val="17365D" w:themeColor="text2" w:themeShade="BF"/>
        </w:rPr>
        <w:t xml:space="preserve">and then click </w:t>
      </w:r>
      <w:r w:rsidR="002B18C6" w:rsidRPr="00F44B4E">
        <w:rPr>
          <w:rFonts w:ascii="Arial" w:eastAsia="Times New Roman" w:hAnsi="Arial" w:cs="Arial"/>
          <w:b/>
          <w:color w:val="17365D" w:themeColor="text2" w:themeShade="BF"/>
        </w:rPr>
        <w:t>Business and Administrative Services.</w:t>
      </w:r>
    </w:p>
    <w:p w:rsidR="002B18C6" w:rsidRPr="00F44B4E" w:rsidRDefault="002B18C6" w:rsidP="00D56C62">
      <w:pPr>
        <w:rPr>
          <w:rFonts w:ascii="Arial" w:eastAsia="Times New Roman" w:hAnsi="Arial" w:cs="Arial"/>
          <w:b/>
          <w:color w:val="17365D" w:themeColor="text2" w:themeShade="BF"/>
        </w:rPr>
      </w:pP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This year the purchasing cut off for the Unrestricted </w:t>
      </w:r>
      <w:r w:rsidR="00F44B4E">
        <w:rPr>
          <w:rFonts w:ascii="Arial" w:eastAsia="Times New Roman" w:hAnsi="Arial" w:cs="Arial"/>
          <w:color w:val="17365D" w:themeColor="text2" w:themeShade="BF"/>
        </w:rPr>
        <w:t>General Fund</w:t>
      </w:r>
      <w:r w:rsidRPr="002B18C6">
        <w:rPr>
          <w:rFonts w:ascii="Arial" w:eastAsia="Times New Roman" w:hAnsi="Arial" w:cs="Arial"/>
          <w:color w:val="17365D" w:themeColor="text2" w:themeShade="BF"/>
        </w:rPr>
        <w:t xml:space="preserve"> is similar to that of prior year. The cut-off is split between tangible items and services. </w:t>
      </w:r>
      <w:r w:rsidRPr="002B18C6">
        <w:rPr>
          <w:rFonts w:ascii="Arial" w:eastAsia="Times New Roman" w:hAnsi="Arial" w:cs="Arial"/>
          <w:b/>
          <w:color w:val="17365D" w:themeColor="text2" w:themeShade="BF"/>
        </w:rPr>
        <w:t xml:space="preserve">April </w:t>
      </w:r>
      <w:r w:rsidR="00F44B4E">
        <w:rPr>
          <w:rFonts w:ascii="Arial" w:eastAsia="Times New Roman" w:hAnsi="Arial" w:cs="Arial"/>
          <w:b/>
          <w:color w:val="17365D" w:themeColor="text2" w:themeShade="BF"/>
        </w:rPr>
        <w:t>3rd</w:t>
      </w:r>
      <w:r w:rsidRPr="002B18C6">
        <w:rPr>
          <w:rFonts w:ascii="Arial" w:eastAsia="Times New Roman" w:hAnsi="Arial" w:cs="Arial"/>
          <w:color w:val="17365D" w:themeColor="text2" w:themeShade="BF"/>
        </w:rPr>
        <w:t xml:space="preserve"> will be the cut-off for all Purchase Requisitions (PR) encumbering funds for </w:t>
      </w:r>
      <w:r w:rsidRPr="002B18C6">
        <w:rPr>
          <w:rFonts w:ascii="Arial" w:eastAsia="Times New Roman" w:hAnsi="Arial" w:cs="Arial"/>
          <w:b/>
          <w:color w:val="17365D" w:themeColor="text2" w:themeShade="BF"/>
          <w:u w:val="single"/>
        </w:rPr>
        <w:t>tangible items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as well as categorical/grants that do not carryover</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 xml:space="preserve">May </w:t>
      </w:r>
      <w:r w:rsidR="00F44B4E">
        <w:rPr>
          <w:rFonts w:ascii="Arial" w:eastAsia="Times New Roman" w:hAnsi="Arial" w:cs="Arial"/>
          <w:b/>
          <w:color w:val="17365D" w:themeColor="text2" w:themeShade="BF"/>
        </w:rPr>
        <w:t>4</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be the cut-off date for all PRs encumbering fund for </w:t>
      </w:r>
      <w:r w:rsidRPr="002B18C6">
        <w:rPr>
          <w:rFonts w:ascii="Arial" w:eastAsia="Times New Roman" w:hAnsi="Arial" w:cs="Arial"/>
          <w:b/>
          <w:color w:val="17365D" w:themeColor="text2" w:themeShade="BF"/>
          <w:u w:val="single"/>
        </w:rPr>
        <w:t>services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 xml:space="preserve">May </w:t>
      </w:r>
      <w:r w:rsidR="00F44B4E">
        <w:rPr>
          <w:rFonts w:ascii="Arial" w:eastAsia="Times New Roman" w:hAnsi="Arial" w:cs="Arial"/>
          <w:b/>
          <w:color w:val="17365D" w:themeColor="text2" w:themeShade="BF"/>
        </w:rPr>
        <w:t>4</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also be the cut-off for all other funding sources (including but not limited to categorical, grant programs, bonds and all other fund types).  All requisitions must be approved in PROMT and received by the Purchasing department by </w:t>
      </w:r>
      <w:r w:rsidRPr="002B18C6">
        <w:rPr>
          <w:rFonts w:ascii="Arial" w:eastAsia="Times New Roman" w:hAnsi="Arial" w:cs="Arial"/>
          <w:b/>
          <w:color w:val="17365D" w:themeColor="text2" w:themeShade="BF"/>
        </w:rPr>
        <w:t>5:00 p.m.</w:t>
      </w:r>
      <w:r w:rsidRPr="002B18C6">
        <w:rPr>
          <w:rFonts w:ascii="Arial" w:eastAsia="Times New Roman" w:hAnsi="Arial" w:cs="Arial"/>
          <w:color w:val="17365D" w:themeColor="text2" w:themeShade="BF"/>
        </w:rPr>
        <w:t xml:space="preserve"> on the respective date noted above or they will be returned to the Requestor unprocessed.</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Purchases for Commencement related activities are considered an exception to these timelines.  Prior approval by the District Office is not required; however, the procurement process must still be followed for these purchases.</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 other exception to the purchasing cut-off is purchases made for Health and Safety emergencies.  As soon as these situations are identified, the manager with the budget responsibility should contact the Purchasing department ASAP. The Purchasing Director, Marie Hampton, can be reached at extension 7895.</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 xml:space="preserve">OPEN POs: Please review all current open POs to make sure that all goods and/or services will be received on or prior to June 30, 2015.  </w:t>
      </w:r>
      <w:r w:rsidRPr="002B18C6">
        <w:rPr>
          <w:rFonts w:ascii="Arial" w:eastAsia="Times New Roman" w:hAnsi="Arial" w:cs="Arial"/>
          <w:b/>
          <w:color w:val="17365D" w:themeColor="text2" w:themeShade="BF"/>
        </w:rPr>
        <w:t>If it is determined that goods and /or services will not be received prior to June 30, 2015, POs should be closed or adjusted using a Request for Change Order form and initiate a fiscal year 2016 Purchase Requisitions.  Please contact the Purchasing department for such requests.</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 xml:space="preserve">Invoices must be submitted to Accounts Payable as soon as possible in order to ensure prompt payment to vendors.  The payment process will not begin until Accounts Payable receives all necessary documents authorizing payment.  Please check to make sure the manager with budget responsibility signs all documents before forwarding them to Accounts Payable. </w:t>
      </w:r>
      <w:r w:rsidRPr="002B18C6">
        <w:rPr>
          <w:rFonts w:ascii="Arial" w:eastAsia="Times New Roman" w:hAnsi="Arial" w:cs="Arial"/>
          <w:b/>
          <w:color w:val="17365D" w:themeColor="text2" w:themeShade="BF"/>
        </w:rPr>
        <w:t>Invoices received after July 16, 2015 will be paid out of the 2015-16 fiscal year budget.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lastRenderedPageBreak/>
        <w:t>FISCAL YEAR 2015 purchase requisitions can be initiated on or after July 1, 2015.  However, vendors will be instructed that good and/or services cannot be received until July 1, 2015 or after.</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Lastly, please anticipate any conference, travel or mileage expenses you may incur after the cut-off date and process a PR for the estimated expenses.  Failure to do so will delay reimbursement.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Your assistance is appreciated. </w:t>
      </w:r>
    </w:p>
    <w:p w:rsidR="002B18C6" w:rsidRPr="002B18C6" w:rsidRDefault="002B18C6" w:rsidP="002B18C6">
      <w:pPr>
        <w:widowControl w:val="0"/>
        <w:ind w:right="1640"/>
        <w:jc w:val="both"/>
        <w:rPr>
          <w:rFonts w:ascii="Arial" w:eastAsia="Times New Roman" w:hAnsi="Arial" w:cs="Arial"/>
          <w:color w:val="17365D" w:themeColor="text2" w:themeShade="BF"/>
        </w:rPr>
      </w:pPr>
    </w:p>
    <w:p w:rsidR="002B18C6" w:rsidRPr="002B18C6" w:rsidRDefault="002B18C6" w:rsidP="002B18C6">
      <w:pPr>
        <w:widowControl w:val="0"/>
        <w:spacing w:line="200" w:lineRule="exact"/>
        <w:rPr>
          <w:rFonts w:ascii="Arial" w:hAnsi="Arial" w:cs="Arial"/>
          <w:color w:val="17365D" w:themeColor="text2" w:themeShade="BF"/>
        </w:rPr>
      </w:pPr>
    </w:p>
    <w:tbl>
      <w:tblPr>
        <w:tblStyle w:val="MediumShading1-Accent5"/>
        <w:tblW w:w="5000" w:type="pct"/>
        <w:tblLook w:val="04A0" w:firstRow="1" w:lastRow="0" w:firstColumn="1" w:lastColumn="0" w:noHBand="0" w:noVBand="1"/>
      </w:tblPr>
      <w:tblGrid>
        <w:gridCol w:w="8003"/>
        <w:gridCol w:w="2437"/>
      </w:tblGrid>
      <w:tr w:rsidR="00F44B4E" w:rsidRPr="00F44B4E" w:rsidTr="00E2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Transaction </w:t>
            </w:r>
          </w:p>
        </w:tc>
        <w:tc>
          <w:tcPr>
            <w:tcW w:w="1167" w:type="pct"/>
            <w:tcBorders>
              <w:left w:val="single" w:sz="8" w:space="0" w:color="78C0D4" w:themeColor="accent5" w:themeTint="BF"/>
            </w:tcBorders>
          </w:tcPr>
          <w:p w:rsidR="002B18C6" w:rsidRPr="002B18C6" w:rsidRDefault="002B18C6" w:rsidP="002B18C6">
            <w:pPr>
              <w:spacing w:line="22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Date</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(Fund 01 and any categorical/grants that funding ends June 30) Requisitions and Purchase Orders - Tangible items</w:t>
            </w:r>
          </w:p>
        </w:tc>
        <w:tc>
          <w:tcPr>
            <w:tcW w:w="1167" w:type="pct"/>
            <w:tcBorders>
              <w:left w:val="single" w:sz="8" w:space="0" w:color="78C0D4" w:themeColor="accent5" w:themeTint="BF"/>
            </w:tcBorders>
          </w:tcPr>
          <w:p w:rsidR="002B18C6" w:rsidRPr="002B18C6" w:rsidRDefault="002B18C6" w:rsidP="00F44B4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April </w:t>
            </w:r>
            <w:r w:rsidR="00F44B4E">
              <w:rPr>
                <w:rFonts w:ascii="Arial" w:eastAsia="Times New Roman" w:hAnsi="Arial" w:cs="Arial"/>
                <w:color w:val="17365D" w:themeColor="text2" w:themeShade="BF"/>
              </w:rPr>
              <w:t>3</w:t>
            </w:r>
            <w:r w:rsidRPr="002B18C6">
              <w:rPr>
                <w:rFonts w:ascii="Arial" w:eastAsia="Times New Roman" w:hAnsi="Arial" w:cs="Arial"/>
                <w:color w:val="17365D" w:themeColor="text2" w:themeShade="BF"/>
              </w:rPr>
              <w:t>, 2015</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Purchasing Cut-off (Fund 01 and any categorical/grants that funding ends June 30) Requisitions and Purchase Orders -Services </w:t>
            </w:r>
          </w:p>
        </w:tc>
        <w:tc>
          <w:tcPr>
            <w:tcW w:w="1167" w:type="pct"/>
            <w:tcBorders>
              <w:left w:val="single" w:sz="8" w:space="0" w:color="78C0D4" w:themeColor="accent5" w:themeTint="BF"/>
            </w:tcBorders>
          </w:tcPr>
          <w:p w:rsidR="002B18C6" w:rsidRPr="002B18C6" w:rsidRDefault="002B18C6" w:rsidP="00F44B4E">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F44B4E">
              <w:rPr>
                <w:rFonts w:ascii="Arial" w:eastAsia="Times New Roman" w:hAnsi="Arial" w:cs="Arial"/>
                <w:color w:val="17365D" w:themeColor="text2" w:themeShade="BF"/>
              </w:rPr>
              <w:t>4</w:t>
            </w:r>
            <w:r w:rsidRPr="002B18C6">
              <w:rPr>
                <w:rFonts w:ascii="Arial" w:eastAsia="Times New Roman" w:hAnsi="Arial" w:cs="Arial"/>
                <w:color w:val="17365D" w:themeColor="text2" w:themeShade="BF"/>
              </w:rPr>
              <w:t>, 2015</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(Other Funds) Requisitions and Purchase Orders</w:t>
            </w:r>
          </w:p>
        </w:tc>
        <w:tc>
          <w:tcPr>
            <w:tcW w:w="1167" w:type="pct"/>
            <w:tcBorders>
              <w:left w:val="single" w:sz="8" w:space="0" w:color="78C0D4" w:themeColor="accent5" w:themeTint="BF"/>
            </w:tcBorders>
          </w:tcPr>
          <w:p w:rsidR="002B18C6" w:rsidRPr="002B18C6" w:rsidRDefault="002B18C6" w:rsidP="00F44B4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F44B4E">
              <w:rPr>
                <w:rFonts w:ascii="Arial" w:eastAsia="Times New Roman" w:hAnsi="Arial" w:cs="Arial"/>
                <w:color w:val="17365D" w:themeColor="text2" w:themeShade="BF"/>
              </w:rPr>
              <w:t>4</w:t>
            </w:r>
            <w:r w:rsidRPr="002B18C6">
              <w:rPr>
                <w:rFonts w:ascii="Arial" w:eastAsia="Times New Roman" w:hAnsi="Arial" w:cs="Arial"/>
                <w:color w:val="17365D" w:themeColor="text2" w:themeShade="BF"/>
              </w:rPr>
              <w:t>, 2015</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Warehouse Cut-off (Stores and Warehouses Orders)</w:t>
            </w:r>
          </w:p>
        </w:tc>
        <w:tc>
          <w:tcPr>
            <w:tcW w:w="1167" w:type="pct"/>
            <w:tcBorders>
              <w:left w:val="single" w:sz="8" w:space="0" w:color="78C0D4" w:themeColor="accent5" w:themeTint="BF"/>
            </w:tcBorders>
          </w:tcPr>
          <w:p w:rsidR="002B18C6" w:rsidRPr="002B18C6" w:rsidRDefault="00F44B4E"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4</w:t>
            </w:r>
            <w:r w:rsidR="002B18C6" w:rsidRPr="002B18C6">
              <w:rPr>
                <w:rFonts w:ascii="Arial" w:eastAsia="Times New Roman" w:hAnsi="Arial" w:cs="Arial"/>
                <w:color w:val="17365D" w:themeColor="text2" w:themeShade="BF"/>
              </w:rPr>
              <w:t>, 2015</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Deposits Cut-off (Checks due to District Office)</w:t>
            </w:r>
          </w:p>
        </w:tc>
        <w:tc>
          <w:tcPr>
            <w:tcW w:w="1167" w:type="pct"/>
            <w:tcBorders>
              <w:left w:val="single" w:sz="8" w:space="0" w:color="78C0D4" w:themeColor="accent5" w:themeTint="BF"/>
            </w:tcBorders>
          </w:tcPr>
          <w:p w:rsidR="002B18C6" w:rsidRPr="002B18C6" w:rsidRDefault="00F44B4E" w:rsidP="002B18C6">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8</w:t>
            </w:r>
            <w:r w:rsidR="002B18C6" w:rsidRPr="002B18C6">
              <w:rPr>
                <w:rFonts w:ascii="Arial" w:eastAsia="Times New Roman" w:hAnsi="Arial" w:cs="Arial"/>
                <w:color w:val="17365D" w:themeColor="text2" w:themeShade="BF"/>
              </w:rPr>
              <w:t>, 2015</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Personnel Actions Cut-off (ePAFs) </w:t>
            </w:r>
          </w:p>
        </w:tc>
        <w:tc>
          <w:tcPr>
            <w:tcW w:w="1167" w:type="pct"/>
            <w:tcBorders>
              <w:left w:val="single" w:sz="8" w:space="0" w:color="78C0D4" w:themeColor="accent5" w:themeTint="BF"/>
            </w:tcBorders>
          </w:tcPr>
          <w:p w:rsidR="002B18C6" w:rsidRPr="002B18C6" w:rsidRDefault="00F44B4E"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15</w:t>
            </w:r>
            <w:r w:rsidR="002B18C6" w:rsidRPr="002B18C6">
              <w:rPr>
                <w:rFonts w:ascii="Arial" w:eastAsia="Times New Roman" w:hAnsi="Arial" w:cs="Arial"/>
                <w:color w:val="17365D" w:themeColor="text2" w:themeShade="BF"/>
              </w:rPr>
              <w:t xml:space="preserve">, 2015 </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Accounts Payable Cut-off (Invoices to District AP)</w:t>
            </w:r>
          </w:p>
        </w:tc>
        <w:tc>
          <w:tcPr>
            <w:tcW w:w="1167" w:type="pct"/>
            <w:tcBorders>
              <w:left w:val="single" w:sz="8" w:space="0" w:color="78C0D4" w:themeColor="accent5" w:themeTint="BF"/>
            </w:tcBorders>
          </w:tcPr>
          <w:p w:rsidR="002B18C6" w:rsidRPr="002B18C6" w:rsidRDefault="002B18C6" w:rsidP="00F44B4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July </w:t>
            </w:r>
            <w:r w:rsidR="00F44B4E">
              <w:rPr>
                <w:rFonts w:ascii="Arial" w:eastAsia="Times New Roman" w:hAnsi="Arial" w:cs="Arial"/>
                <w:color w:val="17365D" w:themeColor="text2" w:themeShade="BF"/>
              </w:rPr>
              <w:t>9</w:t>
            </w:r>
            <w:r w:rsidRPr="002B18C6">
              <w:rPr>
                <w:rFonts w:ascii="Arial" w:eastAsia="Times New Roman" w:hAnsi="Arial" w:cs="Arial"/>
                <w:color w:val="17365D" w:themeColor="text2" w:themeShade="BF"/>
              </w:rPr>
              <w:t>, 2015</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Journal Entries Cut-off (Expense Transfers) </w:t>
            </w:r>
          </w:p>
        </w:tc>
        <w:tc>
          <w:tcPr>
            <w:tcW w:w="1167" w:type="pct"/>
            <w:tcBorders>
              <w:left w:val="single" w:sz="8" w:space="0" w:color="78C0D4" w:themeColor="accent5" w:themeTint="BF"/>
            </w:tcBorders>
          </w:tcPr>
          <w:p w:rsidR="002B18C6" w:rsidRPr="002B18C6" w:rsidRDefault="002B18C6"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August 6, 2015</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Payroll Adjustment Requests Cut-off</w:t>
            </w:r>
          </w:p>
        </w:tc>
        <w:tc>
          <w:tcPr>
            <w:tcW w:w="1167" w:type="pct"/>
            <w:tcBorders>
              <w:left w:val="single" w:sz="8" w:space="0" w:color="78C0D4" w:themeColor="accent5" w:themeTint="BF"/>
            </w:tcBorders>
          </w:tcPr>
          <w:p w:rsidR="002B18C6" w:rsidRPr="002B18C6" w:rsidRDefault="002B18C6" w:rsidP="002B18C6">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August 6, 2015</w:t>
            </w:r>
          </w:p>
        </w:tc>
      </w:tr>
    </w:tbl>
    <w:p w:rsidR="002B18C6" w:rsidRPr="002B18C6" w:rsidRDefault="002B18C6" w:rsidP="002B18C6">
      <w:pPr>
        <w:widowControl w:val="0"/>
        <w:spacing w:line="276" w:lineRule="auto"/>
        <w:rPr>
          <w:rFonts w:ascii="Arial" w:hAnsi="Arial" w:cs="Arial"/>
          <w:color w:val="17365D" w:themeColor="text2" w:themeShade="BF"/>
        </w:rPr>
      </w:pPr>
    </w:p>
    <w:p w:rsidR="002B18C6" w:rsidRPr="002B18C6" w:rsidRDefault="002B18C6" w:rsidP="002B18C6">
      <w:pPr>
        <w:widowControl w:val="0"/>
        <w:spacing w:before="4"/>
        <w:ind w:left="120" w:right="9235"/>
        <w:jc w:val="both"/>
        <w:rPr>
          <w:rFonts w:ascii="Arial" w:eastAsia="Times New Roman" w:hAnsi="Arial" w:cs="Arial"/>
          <w:color w:val="17365D" w:themeColor="text2" w:themeShade="BF"/>
        </w:rPr>
      </w:pP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b/>
          <w:color w:val="17365D" w:themeColor="text2" w:themeShade="BF"/>
        </w:rPr>
        <w:t>KEY OR IMPORTANT NOTES: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dates listed above are the last processing dates for various types of transactions.  If multiple steps are required before a transaction can be fully posted, you must consider all steps and ensure that the last step takes place according to the dates on that list.  For instance, if you are processing a transaction that requires an increase to an encumbrance (PO). You must cancel or adjust encumbrance(s) before April </w:t>
      </w:r>
      <w:r w:rsidR="00054FE9">
        <w:rPr>
          <w:rFonts w:ascii="Arial" w:eastAsia="Times New Roman" w:hAnsi="Arial" w:cs="Arial"/>
          <w:color w:val="17365D" w:themeColor="text2" w:themeShade="BF"/>
        </w:rPr>
        <w:t>3rd</w:t>
      </w:r>
      <w:r w:rsidRPr="002B18C6">
        <w:rPr>
          <w:rFonts w:ascii="Arial" w:eastAsia="Times New Roman" w:hAnsi="Arial" w:cs="Arial"/>
          <w:color w:val="17365D" w:themeColor="text2" w:themeShade="BF"/>
        </w:rPr>
        <w:t xml:space="preserve"> for Unre</w:t>
      </w:r>
      <w:r w:rsidR="00054FE9">
        <w:rPr>
          <w:rFonts w:ascii="Arial" w:eastAsia="Times New Roman" w:hAnsi="Arial" w:cs="Arial"/>
          <w:color w:val="17365D" w:themeColor="text2" w:themeShade="BF"/>
        </w:rPr>
        <w:t>stricted General Fund and May 4</w:t>
      </w:r>
      <w:r w:rsidRPr="002B18C6">
        <w:rPr>
          <w:rFonts w:ascii="Arial" w:eastAsia="Times New Roman" w:hAnsi="Arial" w:cs="Arial"/>
          <w:color w:val="17365D" w:themeColor="text2" w:themeShade="BF"/>
          <w:vertAlign w:val="superscript"/>
        </w:rPr>
        <w:t>th</w:t>
      </w:r>
      <w:r w:rsidRPr="002B18C6">
        <w:rPr>
          <w:rFonts w:ascii="Arial" w:eastAsia="Times New Roman" w:hAnsi="Arial" w:cs="Arial"/>
          <w:color w:val="17365D" w:themeColor="text2" w:themeShade="BF"/>
        </w:rPr>
        <w:t xml:space="preserve"> for all other funds.  This will provided a sufficient unencumbered balance for the claim to be successfully posted on the due date.</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 month of June will be closed on Monday, June 30, 2015, and the monthly June report will be generated on July 15, 2015.</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 first budget load for FY15-16 is scheduled for May 22, 2015.</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These fiscal year-end procedures do not address most payroll transactions.  A separate memorandum will be issued for year-end payroll procedures.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Personnel Action Forms (ePAFs) requesting payment for any assignments with a start date prior to July 1, 2014 must be approved by the College President (for colleges) or the Vice Chancellors (for district offices) prior to June 12, 2015.  This deadline is necessary for the District to timely and accurately close its books.   Receipt of Personnel Action Forms after </w:t>
      </w:r>
      <w:r w:rsidRPr="002B18C6">
        <w:rPr>
          <w:rFonts w:ascii="Arial" w:eastAsia="Times New Roman" w:hAnsi="Arial" w:cs="Arial"/>
          <w:color w:val="17365D" w:themeColor="text2" w:themeShade="BF"/>
        </w:rPr>
        <w:lastRenderedPageBreak/>
        <w:t>this date may delay the processing of payment and delay actual payment to employee.</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Payroll adjustments for pay periods in fiscal year 2014-2015 must be received by August 6, 2015 for processing and posting.  This deadline is necessary for the District to timely and accurately close its books.  Payroll adjustments received after August 6, 2015 will be returned unprocessed.</w:t>
      </w:r>
    </w:p>
    <w:p w:rsidR="002B18C6" w:rsidRPr="00F44B4E" w:rsidRDefault="002B18C6" w:rsidP="00D56C62">
      <w:pPr>
        <w:rPr>
          <w:rFonts w:ascii="Arial" w:eastAsia="Times New Roman" w:hAnsi="Arial" w:cs="Arial"/>
          <w:color w:val="17365D" w:themeColor="text2" w:themeShade="BF"/>
        </w:rPr>
      </w:pPr>
    </w:p>
    <w:sectPr w:rsidR="002B18C6" w:rsidRPr="00F44B4E" w:rsidSect="00C33F1C">
      <w:headerReference w:type="default" r:id="rId10"/>
      <w:pgSz w:w="12240" w:h="15840" w:code="1"/>
      <w:pgMar w:top="288" w:right="1008" w:bottom="288"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80" w:rsidRDefault="00222180" w:rsidP="00C33F1C">
      <w:r>
        <w:separator/>
      </w:r>
    </w:p>
  </w:endnote>
  <w:endnote w:type="continuationSeparator" w:id="0">
    <w:p w:rsidR="00222180" w:rsidRDefault="00222180" w:rsidP="00C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80" w:rsidRDefault="00222180" w:rsidP="00C33F1C">
      <w:r>
        <w:separator/>
      </w:r>
    </w:p>
  </w:footnote>
  <w:footnote w:type="continuationSeparator" w:id="0">
    <w:p w:rsidR="00222180" w:rsidRDefault="00222180" w:rsidP="00C3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C" w:rsidRDefault="003C1C65" w:rsidP="005D71AC">
    <w:pPr>
      <w:pStyle w:val="Header"/>
      <w:rPr>
        <w:rFonts w:ascii="Arial" w:eastAsia="Times New Roman" w:hAnsi="Arial" w:cs="Arial"/>
        <w:b/>
        <w:sz w:val="48"/>
        <w:szCs w:val="48"/>
      </w:rPr>
    </w:pPr>
    <w:r w:rsidRPr="003C1C65">
      <w:rPr>
        <w:noProof/>
      </w:rPr>
      <w:drawing>
        <wp:inline distT="0" distB="0" distL="0" distR="0">
          <wp:extent cx="962025" cy="962025"/>
          <wp:effectExtent l="19050" t="0" r="9525" b="0"/>
          <wp:docPr id="5" name="Picture 45"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keley_Logo_v11_PMS"/>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5D71AC">
      <w:rPr>
        <w:rFonts w:ascii="Arial" w:eastAsia="Times New Roman" w:hAnsi="Arial" w:cs="Arial"/>
        <w:b/>
        <w:sz w:val="48"/>
        <w:szCs w:val="48"/>
      </w:rPr>
      <w:t xml:space="preserve">        </w:t>
    </w:r>
    <w:r w:rsidR="00222180">
      <w:rPr>
        <w:rFonts w:ascii="Arial" w:eastAsia="Times New Roman" w:hAnsi="Arial" w:cs="Arial"/>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3.25pt;height:28.5pt" fillcolor="#066" stroked="f">
          <v:shadow color="silver" opacity="52429f"/>
          <v:textpath style="font-family:&quot;Edwardian Script ITC&quot;;font-size:24pt;v-text-kern:t" trim="t" fitpath="t" string="Business and Administrative Services"/>
        </v:shape>
      </w:pict>
    </w:r>
  </w:p>
  <w:p w:rsidR="00F5059E" w:rsidRPr="00F5059E" w:rsidRDefault="00F5059E" w:rsidP="005D71AC">
    <w:pPr>
      <w:pStyle w:val="Header"/>
      <w:rPr>
        <w:rFonts w:ascii="Arial" w:eastAsia="Times New Roman"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2AA"/>
    <w:multiLevelType w:val="hybridMultilevel"/>
    <w:tmpl w:val="547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0B79"/>
    <w:multiLevelType w:val="hybridMultilevel"/>
    <w:tmpl w:val="F1C4B31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14095C0D"/>
    <w:multiLevelType w:val="hybridMultilevel"/>
    <w:tmpl w:val="2D0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013DA"/>
    <w:multiLevelType w:val="hybridMultilevel"/>
    <w:tmpl w:val="A2AAD05C"/>
    <w:lvl w:ilvl="0" w:tplc="11D698D4">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51102E"/>
    <w:multiLevelType w:val="hybridMultilevel"/>
    <w:tmpl w:val="C3C4AA54"/>
    <w:lvl w:ilvl="0" w:tplc="2D66054E">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nsid w:val="3E5D31FF"/>
    <w:multiLevelType w:val="hybridMultilevel"/>
    <w:tmpl w:val="A398A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66228"/>
    <w:multiLevelType w:val="hybridMultilevel"/>
    <w:tmpl w:val="CEF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70CE9"/>
    <w:multiLevelType w:val="hybridMultilevel"/>
    <w:tmpl w:val="09F683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E181A"/>
    <w:multiLevelType w:val="hybridMultilevel"/>
    <w:tmpl w:val="A7247E60"/>
    <w:lvl w:ilvl="0" w:tplc="6EB6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31C0"/>
    <w:multiLevelType w:val="hybridMultilevel"/>
    <w:tmpl w:val="88A0D76E"/>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B831E2"/>
    <w:multiLevelType w:val="hybridMultilevel"/>
    <w:tmpl w:val="EC6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D63A0"/>
    <w:multiLevelType w:val="hybridMultilevel"/>
    <w:tmpl w:val="05B43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AB5B22"/>
    <w:multiLevelType w:val="hybridMultilevel"/>
    <w:tmpl w:val="DD72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974E05"/>
    <w:multiLevelType w:val="hybridMultilevel"/>
    <w:tmpl w:val="B57A9D74"/>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11"/>
  </w:num>
  <w:num w:numId="6">
    <w:abstractNumId w:val="10"/>
  </w:num>
  <w:num w:numId="7">
    <w:abstractNumId w:val="12"/>
  </w:num>
  <w:num w:numId="8">
    <w:abstractNumId w:val="8"/>
  </w:num>
  <w:num w:numId="9">
    <w:abstractNumId w:val="3"/>
  </w:num>
  <w:num w:numId="10">
    <w:abstractNumId w:val="1"/>
  </w:num>
  <w:num w:numId="11">
    <w:abstractNumId w:val="6"/>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C"/>
    <w:rsid w:val="000077C0"/>
    <w:rsid w:val="00022D38"/>
    <w:rsid w:val="0003652F"/>
    <w:rsid w:val="000371C5"/>
    <w:rsid w:val="00041CF8"/>
    <w:rsid w:val="00044F7F"/>
    <w:rsid w:val="00047AAE"/>
    <w:rsid w:val="00054F34"/>
    <w:rsid w:val="00054FE9"/>
    <w:rsid w:val="00072FD2"/>
    <w:rsid w:val="0008195A"/>
    <w:rsid w:val="00082CBF"/>
    <w:rsid w:val="000A4495"/>
    <w:rsid w:val="000C3BB7"/>
    <w:rsid w:val="000D37E3"/>
    <w:rsid w:val="000D5F08"/>
    <w:rsid w:val="00120004"/>
    <w:rsid w:val="00140250"/>
    <w:rsid w:val="0017659A"/>
    <w:rsid w:val="00185FA3"/>
    <w:rsid w:val="0019214B"/>
    <w:rsid w:val="00196662"/>
    <w:rsid w:val="001A7D7F"/>
    <w:rsid w:val="001C2BB9"/>
    <w:rsid w:val="001D61C0"/>
    <w:rsid w:val="001E4632"/>
    <w:rsid w:val="002126EF"/>
    <w:rsid w:val="00222180"/>
    <w:rsid w:val="00233F85"/>
    <w:rsid w:val="002448CC"/>
    <w:rsid w:val="002623CE"/>
    <w:rsid w:val="00264862"/>
    <w:rsid w:val="0026769C"/>
    <w:rsid w:val="002743AA"/>
    <w:rsid w:val="002A5ADA"/>
    <w:rsid w:val="002B18C6"/>
    <w:rsid w:val="002C1803"/>
    <w:rsid w:val="002C74A5"/>
    <w:rsid w:val="002D7396"/>
    <w:rsid w:val="002E00BB"/>
    <w:rsid w:val="003027A8"/>
    <w:rsid w:val="003207A2"/>
    <w:rsid w:val="00391BE4"/>
    <w:rsid w:val="00393A1B"/>
    <w:rsid w:val="003A0D7C"/>
    <w:rsid w:val="003C1C65"/>
    <w:rsid w:val="003D112C"/>
    <w:rsid w:val="003E196F"/>
    <w:rsid w:val="00401021"/>
    <w:rsid w:val="00406C2D"/>
    <w:rsid w:val="00462422"/>
    <w:rsid w:val="0046451B"/>
    <w:rsid w:val="004673B4"/>
    <w:rsid w:val="004B0B45"/>
    <w:rsid w:val="004C4B21"/>
    <w:rsid w:val="004D303D"/>
    <w:rsid w:val="004D54E5"/>
    <w:rsid w:val="004D6C18"/>
    <w:rsid w:val="00520A39"/>
    <w:rsid w:val="005330D8"/>
    <w:rsid w:val="005505D0"/>
    <w:rsid w:val="00592A78"/>
    <w:rsid w:val="005C08D3"/>
    <w:rsid w:val="005C0EFA"/>
    <w:rsid w:val="005D71AC"/>
    <w:rsid w:val="005E3A45"/>
    <w:rsid w:val="005F7C57"/>
    <w:rsid w:val="006129D6"/>
    <w:rsid w:val="00655159"/>
    <w:rsid w:val="00675DE8"/>
    <w:rsid w:val="00681229"/>
    <w:rsid w:val="00684B1C"/>
    <w:rsid w:val="00686AF4"/>
    <w:rsid w:val="006D2AA2"/>
    <w:rsid w:val="007031CA"/>
    <w:rsid w:val="00706585"/>
    <w:rsid w:val="00722833"/>
    <w:rsid w:val="007369C6"/>
    <w:rsid w:val="00753659"/>
    <w:rsid w:val="00756D80"/>
    <w:rsid w:val="00765260"/>
    <w:rsid w:val="007B238A"/>
    <w:rsid w:val="007B2BAA"/>
    <w:rsid w:val="007D0907"/>
    <w:rsid w:val="007D535F"/>
    <w:rsid w:val="007E6797"/>
    <w:rsid w:val="008028CA"/>
    <w:rsid w:val="00806032"/>
    <w:rsid w:val="008327FE"/>
    <w:rsid w:val="008335F5"/>
    <w:rsid w:val="00861669"/>
    <w:rsid w:val="0086552F"/>
    <w:rsid w:val="00875F4C"/>
    <w:rsid w:val="0089001E"/>
    <w:rsid w:val="0089439D"/>
    <w:rsid w:val="008B3665"/>
    <w:rsid w:val="008C557E"/>
    <w:rsid w:val="008D2E36"/>
    <w:rsid w:val="008E28CA"/>
    <w:rsid w:val="008F27C8"/>
    <w:rsid w:val="00910B1D"/>
    <w:rsid w:val="00916E21"/>
    <w:rsid w:val="009213C6"/>
    <w:rsid w:val="00931862"/>
    <w:rsid w:val="009442B2"/>
    <w:rsid w:val="009445D3"/>
    <w:rsid w:val="00954B26"/>
    <w:rsid w:val="009A2597"/>
    <w:rsid w:val="009A66FA"/>
    <w:rsid w:val="009D0A01"/>
    <w:rsid w:val="009D18D1"/>
    <w:rsid w:val="009F40B0"/>
    <w:rsid w:val="00A0403A"/>
    <w:rsid w:val="00A10A8F"/>
    <w:rsid w:val="00A253D0"/>
    <w:rsid w:val="00A31385"/>
    <w:rsid w:val="00A454C3"/>
    <w:rsid w:val="00A64CE7"/>
    <w:rsid w:val="00A7570E"/>
    <w:rsid w:val="00A87355"/>
    <w:rsid w:val="00A92027"/>
    <w:rsid w:val="00AB095F"/>
    <w:rsid w:val="00AF52FD"/>
    <w:rsid w:val="00B57FFC"/>
    <w:rsid w:val="00B64FBA"/>
    <w:rsid w:val="00B8324A"/>
    <w:rsid w:val="00BD18EA"/>
    <w:rsid w:val="00BD764E"/>
    <w:rsid w:val="00C231F5"/>
    <w:rsid w:val="00C33F1C"/>
    <w:rsid w:val="00C3445B"/>
    <w:rsid w:val="00C3760D"/>
    <w:rsid w:val="00C80B78"/>
    <w:rsid w:val="00C848BD"/>
    <w:rsid w:val="00C85ED5"/>
    <w:rsid w:val="00C9021A"/>
    <w:rsid w:val="00CA73A1"/>
    <w:rsid w:val="00CA77E2"/>
    <w:rsid w:val="00CC178D"/>
    <w:rsid w:val="00CF0856"/>
    <w:rsid w:val="00D13A8B"/>
    <w:rsid w:val="00D15F72"/>
    <w:rsid w:val="00D172ED"/>
    <w:rsid w:val="00D276AB"/>
    <w:rsid w:val="00D5396F"/>
    <w:rsid w:val="00D56C62"/>
    <w:rsid w:val="00D663D8"/>
    <w:rsid w:val="00D705AD"/>
    <w:rsid w:val="00D932C7"/>
    <w:rsid w:val="00DC4F42"/>
    <w:rsid w:val="00DE542C"/>
    <w:rsid w:val="00DE744B"/>
    <w:rsid w:val="00E16819"/>
    <w:rsid w:val="00E34779"/>
    <w:rsid w:val="00E46FA4"/>
    <w:rsid w:val="00E54686"/>
    <w:rsid w:val="00E96D29"/>
    <w:rsid w:val="00EE1D25"/>
    <w:rsid w:val="00F07E89"/>
    <w:rsid w:val="00F426E8"/>
    <w:rsid w:val="00F44B4E"/>
    <w:rsid w:val="00F46C93"/>
    <w:rsid w:val="00F5059E"/>
    <w:rsid w:val="00F55683"/>
    <w:rsid w:val="00F63AAC"/>
    <w:rsid w:val="00F70727"/>
    <w:rsid w:val="00F745B7"/>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32">
      <w:bodyDiv w:val="1"/>
      <w:marLeft w:val="0"/>
      <w:marRight w:val="0"/>
      <w:marTop w:val="0"/>
      <w:marBottom w:val="0"/>
      <w:divBdr>
        <w:top w:val="none" w:sz="0" w:space="0" w:color="auto"/>
        <w:left w:val="none" w:sz="0" w:space="0" w:color="auto"/>
        <w:bottom w:val="none" w:sz="0" w:space="0" w:color="auto"/>
        <w:right w:val="none" w:sz="0" w:space="0" w:color="auto"/>
      </w:divBdr>
    </w:div>
    <w:div w:id="161630162">
      <w:bodyDiv w:val="1"/>
      <w:marLeft w:val="0"/>
      <w:marRight w:val="0"/>
      <w:marTop w:val="0"/>
      <w:marBottom w:val="0"/>
      <w:divBdr>
        <w:top w:val="none" w:sz="0" w:space="0" w:color="auto"/>
        <w:left w:val="none" w:sz="0" w:space="0" w:color="auto"/>
        <w:bottom w:val="none" w:sz="0" w:space="0" w:color="auto"/>
        <w:right w:val="none" w:sz="0" w:space="0" w:color="auto"/>
      </w:divBdr>
    </w:div>
    <w:div w:id="361245352">
      <w:bodyDiv w:val="1"/>
      <w:marLeft w:val="0"/>
      <w:marRight w:val="0"/>
      <w:marTop w:val="0"/>
      <w:marBottom w:val="0"/>
      <w:divBdr>
        <w:top w:val="none" w:sz="0" w:space="0" w:color="auto"/>
        <w:left w:val="none" w:sz="0" w:space="0" w:color="auto"/>
        <w:bottom w:val="none" w:sz="0" w:space="0" w:color="auto"/>
        <w:right w:val="none" w:sz="0" w:space="0" w:color="auto"/>
      </w:divBdr>
    </w:div>
    <w:div w:id="408113648">
      <w:bodyDiv w:val="1"/>
      <w:marLeft w:val="0"/>
      <w:marRight w:val="0"/>
      <w:marTop w:val="0"/>
      <w:marBottom w:val="0"/>
      <w:divBdr>
        <w:top w:val="none" w:sz="0" w:space="0" w:color="auto"/>
        <w:left w:val="none" w:sz="0" w:space="0" w:color="auto"/>
        <w:bottom w:val="none" w:sz="0" w:space="0" w:color="auto"/>
        <w:right w:val="none" w:sz="0" w:space="0" w:color="auto"/>
      </w:divBdr>
    </w:div>
    <w:div w:id="571891967">
      <w:bodyDiv w:val="1"/>
      <w:marLeft w:val="0"/>
      <w:marRight w:val="0"/>
      <w:marTop w:val="0"/>
      <w:marBottom w:val="0"/>
      <w:divBdr>
        <w:top w:val="none" w:sz="0" w:space="0" w:color="auto"/>
        <w:left w:val="none" w:sz="0" w:space="0" w:color="auto"/>
        <w:bottom w:val="none" w:sz="0" w:space="0" w:color="auto"/>
        <w:right w:val="none" w:sz="0" w:space="0" w:color="auto"/>
      </w:divBdr>
    </w:div>
    <w:div w:id="956134083">
      <w:bodyDiv w:val="1"/>
      <w:marLeft w:val="0"/>
      <w:marRight w:val="0"/>
      <w:marTop w:val="0"/>
      <w:marBottom w:val="0"/>
      <w:divBdr>
        <w:top w:val="none" w:sz="0" w:space="0" w:color="auto"/>
        <w:left w:val="none" w:sz="0" w:space="0" w:color="auto"/>
        <w:bottom w:val="none" w:sz="0" w:space="0" w:color="auto"/>
        <w:right w:val="none" w:sz="0" w:space="0" w:color="auto"/>
      </w:divBdr>
    </w:div>
    <w:div w:id="1003704423">
      <w:bodyDiv w:val="1"/>
      <w:marLeft w:val="0"/>
      <w:marRight w:val="0"/>
      <w:marTop w:val="0"/>
      <w:marBottom w:val="0"/>
      <w:divBdr>
        <w:top w:val="none" w:sz="0" w:space="0" w:color="auto"/>
        <w:left w:val="none" w:sz="0" w:space="0" w:color="auto"/>
        <w:bottom w:val="none" w:sz="0" w:space="0" w:color="auto"/>
        <w:right w:val="none" w:sz="0" w:space="0" w:color="auto"/>
      </w:divBdr>
    </w:div>
    <w:div w:id="1058359916">
      <w:bodyDiv w:val="1"/>
      <w:marLeft w:val="0"/>
      <w:marRight w:val="0"/>
      <w:marTop w:val="0"/>
      <w:marBottom w:val="0"/>
      <w:divBdr>
        <w:top w:val="none" w:sz="0" w:space="0" w:color="auto"/>
        <w:left w:val="none" w:sz="0" w:space="0" w:color="auto"/>
        <w:bottom w:val="none" w:sz="0" w:space="0" w:color="auto"/>
        <w:right w:val="none" w:sz="0" w:space="0" w:color="auto"/>
      </w:divBdr>
    </w:div>
    <w:div w:id="1388601314">
      <w:bodyDiv w:val="1"/>
      <w:marLeft w:val="0"/>
      <w:marRight w:val="0"/>
      <w:marTop w:val="0"/>
      <w:marBottom w:val="0"/>
      <w:divBdr>
        <w:top w:val="none" w:sz="0" w:space="0" w:color="auto"/>
        <w:left w:val="none" w:sz="0" w:space="0" w:color="auto"/>
        <w:bottom w:val="none" w:sz="0" w:space="0" w:color="auto"/>
        <w:right w:val="none" w:sz="0" w:space="0" w:color="auto"/>
      </w:divBdr>
    </w:div>
    <w:div w:id="1585533958">
      <w:bodyDiv w:val="1"/>
      <w:marLeft w:val="0"/>
      <w:marRight w:val="0"/>
      <w:marTop w:val="0"/>
      <w:marBottom w:val="0"/>
      <w:divBdr>
        <w:top w:val="none" w:sz="0" w:space="0" w:color="auto"/>
        <w:left w:val="none" w:sz="0" w:space="0" w:color="auto"/>
        <w:bottom w:val="none" w:sz="0" w:space="0" w:color="auto"/>
        <w:right w:val="none" w:sz="0" w:space="0" w:color="auto"/>
      </w:divBdr>
    </w:div>
    <w:div w:id="1700543716">
      <w:bodyDiv w:val="1"/>
      <w:marLeft w:val="0"/>
      <w:marRight w:val="0"/>
      <w:marTop w:val="0"/>
      <w:marBottom w:val="0"/>
      <w:divBdr>
        <w:top w:val="none" w:sz="0" w:space="0" w:color="auto"/>
        <w:left w:val="none" w:sz="0" w:space="0" w:color="auto"/>
        <w:bottom w:val="none" w:sz="0" w:space="0" w:color="auto"/>
        <w:right w:val="none" w:sz="0" w:space="0" w:color="auto"/>
      </w:divBdr>
    </w:div>
    <w:div w:id="1799839325">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979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keleycity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3312-349F-48A8-A782-51893EF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Shirley Slaughter</cp:lastModifiedBy>
  <cp:revision>3</cp:revision>
  <cp:lastPrinted>2015-02-26T23:46:00Z</cp:lastPrinted>
  <dcterms:created xsi:type="dcterms:W3CDTF">2015-03-03T02:24:00Z</dcterms:created>
  <dcterms:modified xsi:type="dcterms:W3CDTF">2015-03-03T02:28:00Z</dcterms:modified>
</cp:coreProperties>
</file>