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0F6" w:rsidRPr="00B731D7" w:rsidRDefault="00B040F6" w:rsidP="00B731D7">
      <w:pPr>
        <w:spacing w:after="0" w:line="240" w:lineRule="auto"/>
        <w:jc w:val="center"/>
        <w:rPr>
          <w:sz w:val="48"/>
          <w:szCs w:val="48"/>
        </w:rPr>
      </w:pPr>
      <w:r w:rsidRPr="00B731D7">
        <w:rPr>
          <w:sz w:val="48"/>
          <w:szCs w:val="48"/>
        </w:rPr>
        <w:t xml:space="preserve">Peralta Community College District </w:t>
      </w:r>
    </w:p>
    <w:p w:rsidR="00B040F6" w:rsidRPr="007D6880" w:rsidRDefault="00B040F6" w:rsidP="00B731D7">
      <w:pPr>
        <w:spacing w:after="0" w:line="240" w:lineRule="auto"/>
        <w:jc w:val="center"/>
      </w:pPr>
      <w:r w:rsidRPr="007D6880">
        <w:t xml:space="preserve">Office of Institutional Research </w:t>
      </w:r>
    </w:p>
    <w:p w:rsidR="00B040F6" w:rsidRPr="007D6880" w:rsidRDefault="00D80417" w:rsidP="00B731D7">
      <w:pPr>
        <w:spacing w:after="0" w:line="240" w:lineRule="auto"/>
        <w:jc w:val="center"/>
      </w:pPr>
      <w:r>
        <w:t xml:space="preserve">Summary </w:t>
      </w:r>
      <w:r w:rsidR="00B040F6" w:rsidRPr="007D6880">
        <w:t>Analysis Report: Student Technology Needs</w:t>
      </w:r>
    </w:p>
    <w:p w:rsidR="00595A23" w:rsidRPr="007D6880" w:rsidRDefault="00595A23" w:rsidP="00B731D7">
      <w:pPr>
        <w:spacing w:after="0" w:line="240" w:lineRule="auto"/>
        <w:jc w:val="center"/>
      </w:pPr>
      <w:r w:rsidRPr="007D6880">
        <w:t>Prepared by District Office of Institutional Research</w:t>
      </w:r>
    </w:p>
    <w:p w:rsidR="00B040F6" w:rsidRPr="007D6880" w:rsidRDefault="001E2176" w:rsidP="00B731D7">
      <w:pPr>
        <w:spacing w:after="0" w:line="240" w:lineRule="auto"/>
        <w:jc w:val="center"/>
      </w:pPr>
      <w:r>
        <w:t>April 18</w:t>
      </w:r>
      <w:r w:rsidRPr="001E2176">
        <w:rPr>
          <w:vertAlign w:val="superscript"/>
        </w:rPr>
        <w:t>th</w:t>
      </w:r>
      <w:r>
        <w:t xml:space="preserve"> </w:t>
      </w:r>
      <w:r w:rsidR="00B040F6" w:rsidRPr="007D6880">
        <w:t>of 2020</w:t>
      </w:r>
    </w:p>
    <w:p w:rsidR="00B731D7" w:rsidRPr="007D6880" w:rsidRDefault="00B731D7" w:rsidP="00B731D7">
      <w:pPr>
        <w:spacing w:after="0" w:line="240" w:lineRule="auto"/>
        <w:jc w:val="center"/>
      </w:pPr>
    </w:p>
    <w:p w:rsidR="00B731D7" w:rsidRPr="007D6880" w:rsidRDefault="00B731D7" w:rsidP="00B731D7">
      <w:pPr>
        <w:spacing w:after="0" w:line="240" w:lineRule="auto"/>
        <w:jc w:val="center"/>
      </w:pPr>
    </w:p>
    <w:p w:rsidR="00696605" w:rsidRDefault="00DB5C66" w:rsidP="00861911">
      <w:pPr>
        <w:rPr>
          <w:sz w:val="24"/>
          <w:szCs w:val="24"/>
        </w:rPr>
      </w:pPr>
      <w:r w:rsidRPr="007D6880">
        <w:t>A</w:t>
      </w:r>
      <w:r w:rsidR="00A81C9E" w:rsidRPr="007D6880">
        <w:t xml:space="preserve"> total of 21,908 students</w:t>
      </w:r>
      <w:r w:rsidRPr="007D6880">
        <w:t xml:space="preserve"> </w:t>
      </w:r>
      <w:r w:rsidR="00D80417">
        <w:t>were</w:t>
      </w:r>
      <w:r w:rsidRPr="007D6880">
        <w:t xml:space="preserve"> invited to take the Student Technology Needs Survey. Students were contacted through their Peral</w:t>
      </w:r>
      <w:r w:rsidR="00D80417">
        <w:t>ta’s emails and personal email (</w:t>
      </w:r>
      <w:r w:rsidRPr="007D6880">
        <w:t>if provided</w:t>
      </w:r>
      <w:r w:rsidR="00D80417">
        <w:t>)</w:t>
      </w:r>
      <w:r w:rsidRPr="007D6880">
        <w:t>. The students currently enroll</w:t>
      </w:r>
      <w:r w:rsidR="00A81C9E" w:rsidRPr="007D6880">
        <w:t xml:space="preserve"> in classes through Peralta CCD colleges as of March 23</w:t>
      </w:r>
      <w:r w:rsidR="00A81C9E" w:rsidRPr="007D6880">
        <w:rPr>
          <w:vertAlign w:val="superscript"/>
        </w:rPr>
        <w:t>rd</w:t>
      </w:r>
      <w:r w:rsidR="00A81C9E" w:rsidRPr="007D6880">
        <w:t xml:space="preserve">, 2020. </w:t>
      </w:r>
      <w:r w:rsidR="001E2176">
        <w:t>A preliminary analysis was performed based on 1,205 respondents as of 5pm on March 27</w:t>
      </w:r>
      <w:r w:rsidR="001E2176" w:rsidRPr="001E2176">
        <w:rPr>
          <w:vertAlign w:val="superscript"/>
        </w:rPr>
        <w:t>th</w:t>
      </w:r>
      <w:r w:rsidR="001E2176">
        <w:t xml:space="preserve">, 2020. A summary analysis was performed at survey closing with </w:t>
      </w:r>
      <w:r w:rsidR="00EC015C">
        <w:t xml:space="preserve">a total of </w:t>
      </w:r>
      <w:r w:rsidR="001E2176">
        <w:t xml:space="preserve">3,151 respondents. </w:t>
      </w:r>
    </w:p>
    <w:p w:rsidR="00696605" w:rsidRPr="00696605" w:rsidRDefault="00696605" w:rsidP="00861911">
      <w:pPr>
        <w:rPr>
          <w:sz w:val="32"/>
          <w:szCs w:val="32"/>
          <w:u w:val="single"/>
        </w:rPr>
      </w:pPr>
      <w:r w:rsidRPr="00696605">
        <w:rPr>
          <w:sz w:val="32"/>
          <w:szCs w:val="32"/>
          <w:u w:val="single"/>
        </w:rPr>
        <w:t xml:space="preserve">Overview </w:t>
      </w:r>
    </w:p>
    <w:p w:rsidR="00A81C9E" w:rsidRPr="007D6880" w:rsidRDefault="00A81C9E" w:rsidP="00A81C9E">
      <w:pPr>
        <w:pStyle w:val="ListParagraph"/>
        <w:numPr>
          <w:ilvl w:val="0"/>
          <w:numId w:val="1"/>
        </w:numPr>
      </w:pPr>
      <w:r w:rsidRPr="007D6880">
        <w:t>21,908 students invited to take survey on March 25</w:t>
      </w:r>
      <w:r w:rsidRPr="007D6880">
        <w:rPr>
          <w:vertAlign w:val="superscript"/>
        </w:rPr>
        <w:t>th</w:t>
      </w:r>
      <w:r w:rsidRPr="007D6880">
        <w:t xml:space="preserve">, 2020 </w:t>
      </w:r>
    </w:p>
    <w:p w:rsidR="00A81C9E" w:rsidRDefault="00A81C9E" w:rsidP="00A81C9E">
      <w:pPr>
        <w:pStyle w:val="ListParagraph"/>
        <w:numPr>
          <w:ilvl w:val="0"/>
          <w:numId w:val="1"/>
        </w:numPr>
      </w:pPr>
      <w:r w:rsidRPr="007D6880">
        <w:t>1,205 students respo</w:t>
      </w:r>
      <w:r w:rsidR="00D80417">
        <w:t xml:space="preserve">nded at </w:t>
      </w:r>
      <w:r w:rsidR="00DB5C66" w:rsidRPr="007D6880">
        <w:t xml:space="preserve">end of day </w:t>
      </w:r>
      <w:r w:rsidR="00D80417">
        <w:t xml:space="preserve">on </w:t>
      </w:r>
      <w:r w:rsidRPr="007D6880">
        <w:t>March 27</w:t>
      </w:r>
      <w:r w:rsidRPr="007D6880">
        <w:rPr>
          <w:vertAlign w:val="superscript"/>
        </w:rPr>
        <w:t>th</w:t>
      </w:r>
      <w:r w:rsidRPr="007D6880">
        <w:t xml:space="preserve">, 2020 </w:t>
      </w:r>
    </w:p>
    <w:p w:rsidR="00EC015C" w:rsidRPr="007D6880" w:rsidRDefault="00EC015C" w:rsidP="00A81C9E">
      <w:pPr>
        <w:pStyle w:val="ListParagraph"/>
        <w:numPr>
          <w:ilvl w:val="0"/>
          <w:numId w:val="1"/>
        </w:numPr>
      </w:pPr>
      <w:r>
        <w:t>Another 1,946 respondents participated yielding a total of 3,151 respondents at survey closing on April 15</w:t>
      </w:r>
      <w:r w:rsidRPr="00EC015C">
        <w:rPr>
          <w:vertAlign w:val="superscript"/>
        </w:rPr>
        <w:t>th</w:t>
      </w:r>
      <w:r>
        <w:t xml:space="preserve">, 2020. </w:t>
      </w:r>
    </w:p>
    <w:p w:rsidR="00B731D7" w:rsidRPr="007D6880" w:rsidRDefault="00D80417" w:rsidP="00B731D7">
      <w:pPr>
        <w:pStyle w:val="ListParagraph"/>
        <w:numPr>
          <w:ilvl w:val="0"/>
          <w:numId w:val="1"/>
        </w:numPr>
      </w:pPr>
      <w:r>
        <w:t>Response rate is 14.4% and below are the student groups participants belonged to</w:t>
      </w:r>
      <w:r w:rsidR="00B731D7" w:rsidRPr="007D6880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890"/>
        <w:gridCol w:w="2090"/>
      </w:tblGrid>
      <w:tr w:rsidR="008171C4" w:rsidRPr="008171C4" w:rsidTr="008171C4">
        <w:trPr>
          <w:trHeight w:val="255"/>
        </w:trPr>
        <w:tc>
          <w:tcPr>
            <w:tcW w:w="9015" w:type="dxa"/>
            <w:gridSpan w:val="3"/>
            <w:noWrap/>
            <w:hideMark/>
          </w:tcPr>
          <w:p w:rsidR="008171C4" w:rsidRPr="008171C4" w:rsidRDefault="008171C4">
            <w:r w:rsidRPr="008171C4">
              <w:t>Table 1. Demographics Comparison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 w:rsidP="00D80417">
            <w:pPr>
              <w:jc w:val="center"/>
            </w:pPr>
            <w:r w:rsidRPr="008171C4">
              <w:t>Student Groups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D80417">
            <w:pPr>
              <w:jc w:val="center"/>
            </w:pPr>
            <w:r w:rsidRPr="008171C4">
              <w:t>Pool (21,908)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D80417">
            <w:pPr>
              <w:jc w:val="center"/>
            </w:pPr>
            <w:r w:rsidRPr="008171C4">
              <w:t>Respondents (3,151)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Full-time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28.2%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36.1%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VET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1.2%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1.1%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Foster Youth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0.2%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0.1%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CalWorks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1.1%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1.3%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DSPS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4.1%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6.8%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EOPS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7.5%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11.3%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Umojia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3.0%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4.0%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Puente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0.5%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0.7%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New Matric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5.8%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5.1%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 xml:space="preserve">BOG 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42.0%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51.0%</w:t>
            </w:r>
          </w:p>
        </w:tc>
      </w:tr>
      <w:tr w:rsidR="008171C4" w:rsidRPr="008171C4" w:rsidTr="008171C4">
        <w:trPr>
          <w:trHeight w:val="255"/>
        </w:trPr>
        <w:tc>
          <w:tcPr>
            <w:tcW w:w="5035" w:type="dxa"/>
            <w:noWrap/>
            <w:hideMark/>
          </w:tcPr>
          <w:p w:rsidR="008171C4" w:rsidRPr="008171C4" w:rsidRDefault="008171C4">
            <w:r w:rsidRPr="008171C4">
              <w:t>Pell</w:t>
            </w:r>
          </w:p>
        </w:tc>
        <w:tc>
          <w:tcPr>
            <w:tcW w:w="18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13.8%</w:t>
            </w:r>
          </w:p>
        </w:tc>
        <w:tc>
          <w:tcPr>
            <w:tcW w:w="209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17.4%</w:t>
            </w:r>
          </w:p>
        </w:tc>
      </w:tr>
    </w:tbl>
    <w:p w:rsidR="00B731D7" w:rsidRDefault="00B731D7" w:rsidP="006966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980"/>
        <w:gridCol w:w="2070"/>
      </w:tblGrid>
      <w:tr w:rsidR="008171C4" w:rsidRPr="008171C4" w:rsidTr="008171C4">
        <w:trPr>
          <w:trHeight w:val="300"/>
        </w:trPr>
        <w:tc>
          <w:tcPr>
            <w:tcW w:w="8995" w:type="dxa"/>
            <w:gridSpan w:val="3"/>
            <w:noWrap/>
            <w:hideMark/>
          </w:tcPr>
          <w:p w:rsidR="008171C4" w:rsidRPr="008171C4" w:rsidRDefault="008171C4">
            <w:r w:rsidRPr="008171C4">
              <w:t>Table 2. Respondents by College</w:t>
            </w:r>
          </w:p>
        </w:tc>
      </w:tr>
      <w:tr w:rsidR="008171C4" w:rsidRPr="008171C4" w:rsidTr="008171C4">
        <w:trPr>
          <w:trHeight w:val="300"/>
        </w:trPr>
        <w:tc>
          <w:tcPr>
            <w:tcW w:w="4945" w:type="dxa"/>
            <w:noWrap/>
            <w:hideMark/>
          </w:tcPr>
          <w:p w:rsidR="008171C4" w:rsidRPr="008171C4" w:rsidRDefault="008171C4" w:rsidP="00D80417">
            <w:pPr>
              <w:jc w:val="center"/>
            </w:pPr>
            <w:r w:rsidRPr="008171C4">
              <w:t>Colleges</w:t>
            </w:r>
          </w:p>
        </w:tc>
        <w:tc>
          <w:tcPr>
            <w:tcW w:w="1980" w:type="dxa"/>
            <w:noWrap/>
            <w:hideMark/>
          </w:tcPr>
          <w:p w:rsidR="008171C4" w:rsidRPr="008171C4" w:rsidRDefault="008171C4" w:rsidP="00D80417">
            <w:pPr>
              <w:jc w:val="center"/>
            </w:pPr>
            <w:r w:rsidRPr="008171C4">
              <w:t>Respondents</w:t>
            </w:r>
          </w:p>
        </w:tc>
        <w:tc>
          <w:tcPr>
            <w:tcW w:w="2070" w:type="dxa"/>
            <w:noWrap/>
            <w:hideMark/>
          </w:tcPr>
          <w:p w:rsidR="008171C4" w:rsidRPr="008171C4" w:rsidRDefault="008171C4" w:rsidP="00D80417">
            <w:pPr>
              <w:jc w:val="center"/>
            </w:pPr>
            <w:r w:rsidRPr="008171C4">
              <w:t>% of Total</w:t>
            </w:r>
          </w:p>
        </w:tc>
      </w:tr>
      <w:tr w:rsidR="008171C4" w:rsidRPr="008171C4" w:rsidTr="008171C4">
        <w:trPr>
          <w:trHeight w:val="300"/>
        </w:trPr>
        <w:tc>
          <w:tcPr>
            <w:tcW w:w="4945" w:type="dxa"/>
            <w:noWrap/>
            <w:hideMark/>
          </w:tcPr>
          <w:p w:rsidR="008171C4" w:rsidRPr="008171C4" w:rsidRDefault="008171C4">
            <w:r w:rsidRPr="008171C4">
              <w:t>Berkeley City College</w:t>
            </w:r>
          </w:p>
        </w:tc>
        <w:tc>
          <w:tcPr>
            <w:tcW w:w="198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951</w:t>
            </w:r>
          </w:p>
        </w:tc>
        <w:tc>
          <w:tcPr>
            <w:tcW w:w="207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30%</w:t>
            </w:r>
          </w:p>
        </w:tc>
      </w:tr>
      <w:tr w:rsidR="008171C4" w:rsidRPr="008171C4" w:rsidTr="008171C4">
        <w:trPr>
          <w:trHeight w:val="300"/>
        </w:trPr>
        <w:tc>
          <w:tcPr>
            <w:tcW w:w="4945" w:type="dxa"/>
            <w:noWrap/>
            <w:hideMark/>
          </w:tcPr>
          <w:p w:rsidR="008171C4" w:rsidRPr="008171C4" w:rsidRDefault="008171C4">
            <w:r w:rsidRPr="008171C4">
              <w:t>College of Alameda</w:t>
            </w:r>
          </w:p>
        </w:tc>
        <w:tc>
          <w:tcPr>
            <w:tcW w:w="198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649</w:t>
            </w:r>
          </w:p>
        </w:tc>
        <w:tc>
          <w:tcPr>
            <w:tcW w:w="207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21%</w:t>
            </w:r>
          </w:p>
        </w:tc>
      </w:tr>
      <w:tr w:rsidR="008171C4" w:rsidRPr="008171C4" w:rsidTr="008171C4">
        <w:trPr>
          <w:trHeight w:val="300"/>
        </w:trPr>
        <w:tc>
          <w:tcPr>
            <w:tcW w:w="4945" w:type="dxa"/>
            <w:noWrap/>
            <w:hideMark/>
          </w:tcPr>
          <w:p w:rsidR="008171C4" w:rsidRPr="008171C4" w:rsidRDefault="008171C4">
            <w:r w:rsidRPr="008171C4">
              <w:t>Laney College</w:t>
            </w:r>
          </w:p>
        </w:tc>
        <w:tc>
          <w:tcPr>
            <w:tcW w:w="198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1413</w:t>
            </w:r>
          </w:p>
        </w:tc>
        <w:tc>
          <w:tcPr>
            <w:tcW w:w="207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45%</w:t>
            </w:r>
          </w:p>
        </w:tc>
      </w:tr>
      <w:tr w:rsidR="008171C4" w:rsidRPr="008171C4" w:rsidTr="008171C4">
        <w:trPr>
          <w:trHeight w:val="300"/>
        </w:trPr>
        <w:tc>
          <w:tcPr>
            <w:tcW w:w="4945" w:type="dxa"/>
            <w:noWrap/>
            <w:hideMark/>
          </w:tcPr>
          <w:p w:rsidR="008171C4" w:rsidRPr="008171C4" w:rsidRDefault="008171C4">
            <w:r w:rsidRPr="008171C4">
              <w:t>Merritt College</w:t>
            </w:r>
          </w:p>
        </w:tc>
        <w:tc>
          <w:tcPr>
            <w:tcW w:w="198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869</w:t>
            </w:r>
          </w:p>
        </w:tc>
        <w:tc>
          <w:tcPr>
            <w:tcW w:w="207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28%</w:t>
            </w:r>
          </w:p>
        </w:tc>
      </w:tr>
      <w:tr w:rsidR="008171C4" w:rsidRPr="008171C4" w:rsidTr="008171C4">
        <w:trPr>
          <w:trHeight w:val="300"/>
        </w:trPr>
        <w:tc>
          <w:tcPr>
            <w:tcW w:w="4945" w:type="dxa"/>
            <w:noWrap/>
            <w:hideMark/>
          </w:tcPr>
          <w:p w:rsidR="008171C4" w:rsidRPr="008171C4" w:rsidRDefault="008171C4">
            <w:r w:rsidRPr="008171C4">
              <w:t>Total Unduplicated Respondents</w:t>
            </w:r>
          </w:p>
        </w:tc>
        <w:tc>
          <w:tcPr>
            <w:tcW w:w="198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3,148</w:t>
            </w:r>
          </w:p>
        </w:tc>
        <w:tc>
          <w:tcPr>
            <w:tcW w:w="2070" w:type="dxa"/>
            <w:noWrap/>
            <w:hideMark/>
          </w:tcPr>
          <w:p w:rsidR="008171C4" w:rsidRPr="008171C4" w:rsidRDefault="008171C4" w:rsidP="008171C4">
            <w:pPr>
              <w:jc w:val="center"/>
            </w:pPr>
            <w:r w:rsidRPr="008171C4">
              <w:t>100%</w:t>
            </w:r>
          </w:p>
        </w:tc>
      </w:tr>
    </w:tbl>
    <w:p w:rsidR="008171C4" w:rsidRDefault="008171C4" w:rsidP="00696605"/>
    <w:p w:rsidR="00B040F6" w:rsidRPr="00696605" w:rsidRDefault="00696605" w:rsidP="00696605">
      <w:pPr>
        <w:rPr>
          <w:sz w:val="32"/>
          <w:szCs w:val="32"/>
          <w:u w:val="single"/>
        </w:rPr>
      </w:pPr>
      <w:r w:rsidRPr="00696605">
        <w:rPr>
          <w:sz w:val="32"/>
          <w:szCs w:val="32"/>
          <w:u w:val="single"/>
        </w:rPr>
        <w:lastRenderedPageBreak/>
        <w:t xml:space="preserve">Communication </w:t>
      </w:r>
    </w:p>
    <w:p w:rsidR="001F2E2B" w:rsidRPr="00835D7B" w:rsidRDefault="001F2E2B" w:rsidP="001F2E2B">
      <w:pPr>
        <w:pStyle w:val="ListParagraph"/>
        <w:numPr>
          <w:ilvl w:val="0"/>
          <w:numId w:val="3"/>
        </w:numPr>
      </w:pPr>
      <w:r w:rsidRPr="00835D7B">
        <w:t xml:space="preserve">Based on student’s overall comments </w:t>
      </w:r>
      <w:r w:rsidR="00835D7B" w:rsidRPr="00835D7B">
        <w:t>when asked how communication can improve</w:t>
      </w:r>
      <w:r w:rsidRPr="00835D7B">
        <w:t>, it appears:</w:t>
      </w:r>
    </w:p>
    <w:p w:rsidR="001F2E2B" w:rsidRPr="00835D7B" w:rsidRDefault="001F2E2B" w:rsidP="001F2E2B">
      <w:pPr>
        <w:pStyle w:val="ListParagraph"/>
        <w:numPr>
          <w:ilvl w:val="1"/>
          <w:numId w:val="3"/>
        </w:numPr>
      </w:pPr>
      <w:r w:rsidRPr="00835D7B">
        <w:t xml:space="preserve">The students are appreciative of the communication </w:t>
      </w:r>
      <w:r w:rsidR="003E5EB9" w:rsidRPr="00835D7B">
        <w:t>and many have sa</w:t>
      </w:r>
      <w:r w:rsidR="00835D7B" w:rsidRPr="00835D7B">
        <w:t>id “great job”</w:t>
      </w:r>
      <w:r w:rsidR="003E5EB9" w:rsidRPr="00835D7B">
        <w:t xml:space="preserve">. </w:t>
      </w:r>
    </w:p>
    <w:p w:rsidR="003E5EB9" w:rsidRPr="00835D7B" w:rsidRDefault="003E5EB9" w:rsidP="003E5EB9">
      <w:pPr>
        <w:pStyle w:val="ListParagraph"/>
        <w:numPr>
          <w:ilvl w:val="1"/>
          <w:numId w:val="3"/>
        </w:numPr>
      </w:pPr>
      <w:r w:rsidRPr="00835D7B">
        <w:t xml:space="preserve">Students would like to hear clear and frequent communications (i.e. weekly). </w:t>
      </w:r>
    </w:p>
    <w:p w:rsidR="003E5EB9" w:rsidRPr="00835D7B" w:rsidRDefault="00835D7B" w:rsidP="001F2E2B">
      <w:pPr>
        <w:pStyle w:val="ListParagraph"/>
        <w:numPr>
          <w:ilvl w:val="1"/>
          <w:numId w:val="3"/>
        </w:numPr>
      </w:pPr>
      <w:r w:rsidRPr="00835D7B">
        <w:t xml:space="preserve">Students </w:t>
      </w:r>
      <w:r w:rsidR="003E5EB9" w:rsidRPr="00835D7B">
        <w:t>would like to hear more communications from their instructors</w:t>
      </w:r>
      <w:r w:rsidRPr="00835D7B">
        <w:t>.</w:t>
      </w:r>
    </w:p>
    <w:p w:rsidR="003E5EB9" w:rsidRPr="00835D7B" w:rsidRDefault="003E5EB9" w:rsidP="003E5EB9">
      <w:pPr>
        <w:pStyle w:val="ListParagraph"/>
        <w:numPr>
          <w:ilvl w:val="1"/>
          <w:numId w:val="3"/>
        </w:numPr>
      </w:pPr>
      <w:r w:rsidRPr="00835D7B">
        <w:t xml:space="preserve">Students prefer email communications primarily </w:t>
      </w:r>
      <w:r w:rsidR="00DB5C66" w:rsidRPr="00835D7B">
        <w:t xml:space="preserve">and </w:t>
      </w:r>
      <w:r w:rsidRPr="00835D7B">
        <w:t xml:space="preserve">some </w:t>
      </w:r>
      <w:r w:rsidR="00DB5C66" w:rsidRPr="00835D7B">
        <w:t xml:space="preserve">students </w:t>
      </w:r>
      <w:r w:rsidRPr="00835D7B">
        <w:t>prefer texting</w:t>
      </w:r>
      <w:r w:rsidR="00DB5C66" w:rsidRPr="00835D7B">
        <w:t xml:space="preserve"> too</w:t>
      </w:r>
      <w:r w:rsidRPr="00835D7B">
        <w:t xml:space="preserve">. </w:t>
      </w:r>
    </w:p>
    <w:p w:rsidR="00696605" w:rsidRPr="00835D7B" w:rsidRDefault="00623588" w:rsidP="001F2E2B">
      <w:pPr>
        <w:pStyle w:val="ListParagraph"/>
        <w:numPr>
          <w:ilvl w:val="0"/>
          <w:numId w:val="3"/>
        </w:numPr>
      </w:pPr>
      <w:r w:rsidRPr="00835D7B">
        <w:t>About</w:t>
      </w:r>
      <w:r w:rsidR="001F2E2B" w:rsidRPr="00835D7B">
        <w:t xml:space="preserve"> </w:t>
      </w:r>
      <w:r w:rsidR="00835D7B" w:rsidRPr="00835D7B">
        <w:t>90</w:t>
      </w:r>
      <w:r w:rsidR="001F2E2B" w:rsidRPr="00835D7B">
        <w:t xml:space="preserve">% of respondents </w:t>
      </w:r>
      <w:r w:rsidR="00835D7B" w:rsidRPr="00835D7B">
        <w:t>who responded after March 27</w:t>
      </w:r>
      <w:r w:rsidR="00835D7B" w:rsidRPr="00835D7B">
        <w:rPr>
          <w:vertAlign w:val="superscript"/>
        </w:rPr>
        <w:t>th</w:t>
      </w:r>
      <w:r w:rsidR="00835D7B" w:rsidRPr="00835D7B">
        <w:t xml:space="preserve"> </w:t>
      </w:r>
      <w:r w:rsidR="001F2E2B" w:rsidRPr="00835D7B">
        <w:t xml:space="preserve">said they heard from </w:t>
      </w:r>
      <w:r w:rsidR="001F2E2B" w:rsidRPr="00835D7B">
        <w:rPr>
          <w:i/>
        </w:rPr>
        <w:t>ALL</w:t>
      </w:r>
      <w:r w:rsidR="001F2E2B" w:rsidRPr="00835D7B">
        <w:t xml:space="preserve"> </w:t>
      </w:r>
      <w:r w:rsidR="00835D7B" w:rsidRPr="00835D7B">
        <w:t xml:space="preserve">or </w:t>
      </w:r>
      <w:r w:rsidR="00835D7B" w:rsidRPr="00835D7B">
        <w:rPr>
          <w:i/>
        </w:rPr>
        <w:t>Some</w:t>
      </w:r>
      <w:r w:rsidR="00835D7B" w:rsidRPr="00835D7B">
        <w:t xml:space="preserve"> of </w:t>
      </w:r>
      <w:r w:rsidR="001F2E2B" w:rsidRPr="00835D7B">
        <w:t xml:space="preserve">their instructors while </w:t>
      </w:r>
      <w:r w:rsidR="00835D7B" w:rsidRPr="00835D7B">
        <w:t>7</w:t>
      </w:r>
      <w:r w:rsidR="001F2E2B" w:rsidRPr="00835D7B">
        <w:t xml:space="preserve">% have </w:t>
      </w:r>
      <w:r w:rsidR="001F2E2B" w:rsidRPr="00835D7B">
        <w:rPr>
          <w:i/>
        </w:rPr>
        <w:t>not heard from any</w:t>
      </w:r>
      <w:r w:rsidR="001F2E2B" w:rsidRPr="00835D7B">
        <w:t xml:space="preserve"> instructors. </w:t>
      </w:r>
    </w:p>
    <w:p w:rsidR="001F2E2B" w:rsidRPr="00835D7B" w:rsidRDefault="00623588" w:rsidP="001F2E2B">
      <w:pPr>
        <w:pStyle w:val="ListParagraph"/>
        <w:numPr>
          <w:ilvl w:val="0"/>
          <w:numId w:val="3"/>
        </w:numPr>
      </w:pPr>
      <w:r w:rsidRPr="00835D7B">
        <w:t xml:space="preserve">About </w:t>
      </w:r>
      <w:r w:rsidR="00835D7B" w:rsidRPr="00835D7B">
        <w:t>86</w:t>
      </w:r>
      <w:r w:rsidR="001F2E2B" w:rsidRPr="00835D7B">
        <w:t xml:space="preserve">% of respondents </w:t>
      </w:r>
      <w:r w:rsidR="00835D7B" w:rsidRPr="00835D7B">
        <w:t>who responded after March 27</w:t>
      </w:r>
      <w:r w:rsidR="00835D7B" w:rsidRPr="00835D7B">
        <w:rPr>
          <w:vertAlign w:val="superscript"/>
        </w:rPr>
        <w:t>th</w:t>
      </w:r>
      <w:r w:rsidR="00835D7B" w:rsidRPr="00835D7B">
        <w:t xml:space="preserve"> </w:t>
      </w:r>
      <w:r w:rsidR="001F2E2B" w:rsidRPr="00835D7B">
        <w:t xml:space="preserve">said they know the status of </w:t>
      </w:r>
      <w:r w:rsidR="001F2E2B" w:rsidRPr="00835D7B">
        <w:rPr>
          <w:i/>
        </w:rPr>
        <w:t>ALL</w:t>
      </w:r>
      <w:r w:rsidR="00835D7B" w:rsidRPr="00835D7B">
        <w:t xml:space="preserve"> their courses while 1</w:t>
      </w:r>
      <w:r w:rsidR="001F2E2B" w:rsidRPr="00835D7B">
        <w:t xml:space="preserve">1% </w:t>
      </w:r>
      <w:r w:rsidR="001F2E2B" w:rsidRPr="00835D7B">
        <w:rPr>
          <w:i/>
        </w:rPr>
        <w:t>do not know the status</w:t>
      </w:r>
      <w:r w:rsidR="001F2E2B" w:rsidRPr="00835D7B">
        <w:t xml:space="preserve"> of any of their courses. </w:t>
      </w:r>
    </w:p>
    <w:p w:rsidR="001F2E2B" w:rsidRPr="00835D7B" w:rsidRDefault="00835D7B" w:rsidP="001F2E2B">
      <w:pPr>
        <w:pStyle w:val="ListParagraph"/>
        <w:numPr>
          <w:ilvl w:val="0"/>
          <w:numId w:val="3"/>
        </w:numPr>
      </w:pPr>
      <w:r w:rsidRPr="00835D7B">
        <w:t>From the respondents as of March 27</w:t>
      </w:r>
      <w:r w:rsidRPr="00835D7B">
        <w:rPr>
          <w:vertAlign w:val="superscript"/>
        </w:rPr>
        <w:t>th</w:t>
      </w:r>
      <w:r w:rsidRPr="00835D7B">
        <w:t xml:space="preserve"> a</w:t>
      </w:r>
      <w:r w:rsidR="00623588" w:rsidRPr="00835D7B">
        <w:t xml:space="preserve">bout </w:t>
      </w:r>
      <w:r w:rsidR="001F2E2B" w:rsidRPr="00835D7B">
        <w:t xml:space="preserve">33% of respondents said they have heard from </w:t>
      </w:r>
      <w:r w:rsidR="001F2E2B" w:rsidRPr="00835D7B">
        <w:rPr>
          <w:i/>
        </w:rPr>
        <w:t>ALL</w:t>
      </w:r>
      <w:r w:rsidR="001F2E2B" w:rsidRPr="00835D7B">
        <w:t xml:space="preserve"> their instructors </w:t>
      </w:r>
      <w:r w:rsidR="001F2E2B" w:rsidRPr="00835D7B">
        <w:rPr>
          <w:b/>
          <w:i/>
        </w:rPr>
        <w:t>and</w:t>
      </w:r>
      <w:r w:rsidR="001F2E2B" w:rsidRPr="00835D7B">
        <w:t xml:space="preserve"> know the status of </w:t>
      </w:r>
      <w:r w:rsidR="001F2E2B" w:rsidRPr="00835D7B">
        <w:rPr>
          <w:i/>
        </w:rPr>
        <w:t>ALL</w:t>
      </w:r>
      <w:r w:rsidRPr="00835D7B">
        <w:t xml:space="preserve"> their courses. Whereas in the analysis of the respondents after March 27</w:t>
      </w:r>
      <w:r w:rsidRPr="00835D7B">
        <w:rPr>
          <w:vertAlign w:val="superscript"/>
        </w:rPr>
        <w:t>th</w:t>
      </w:r>
      <w:r w:rsidRPr="00835D7B">
        <w:t xml:space="preserve">, 57% of respondents said so. </w:t>
      </w:r>
    </w:p>
    <w:p w:rsidR="008171C4" w:rsidRDefault="008171C4" w:rsidP="008171C4">
      <w:r>
        <w:rPr>
          <w:noProof/>
        </w:rPr>
        <w:drawing>
          <wp:inline distT="0" distB="0" distL="0" distR="0" wp14:anchorId="0FB30231" wp14:editId="7C3E3199">
            <wp:extent cx="5486400" cy="265176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2E2B" w:rsidRDefault="00036DA6" w:rsidP="00696605">
      <w:r>
        <w:rPr>
          <w:noProof/>
        </w:rPr>
        <w:drawing>
          <wp:inline distT="0" distB="0" distL="0" distR="0" wp14:anchorId="0EF6C751" wp14:editId="0C393182">
            <wp:extent cx="5486400" cy="265176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2227"/>
        <w:gridCol w:w="1544"/>
        <w:gridCol w:w="1544"/>
        <w:gridCol w:w="1544"/>
        <w:gridCol w:w="1544"/>
        <w:gridCol w:w="1545"/>
      </w:tblGrid>
      <w:tr w:rsidR="000763BB" w:rsidTr="000763BB">
        <w:trPr>
          <w:trHeight w:val="16"/>
        </w:trPr>
        <w:tc>
          <w:tcPr>
            <w:tcW w:w="9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Table 3.1 Crosstab of Faculty Communication and Awareness of Class Status</w:t>
            </w:r>
            <w:r w:rsidR="00835D7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763BB" w:rsidTr="000763BB">
        <w:trPr>
          <w:trHeight w:val="5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BB" w:rsidRDefault="000763BB" w:rsidP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63BB">
              <w:rPr>
                <w:rFonts w:ascii="Calibri" w:eastAsia="Times New Roman" w:hAnsi="Calibri" w:cs="Calibri"/>
                <w:color w:val="000000"/>
              </w:rPr>
              <w:t>Before 5p on March 27</w:t>
            </w:r>
            <w:r w:rsidRPr="00835D7B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835D7B">
              <w:rPr>
                <w:rFonts w:ascii="Calibri" w:eastAsia="Times New Roman" w:hAnsi="Calibri" w:cs="Calibri"/>
                <w:color w:val="000000"/>
              </w:rPr>
              <w:t xml:space="preserve"> Group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I know the status for all of my courses.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I know the status for some of my courses.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No, I do not know the status for any of my courses.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 Response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Row Total</w:t>
            </w:r>
          </w:p>
        </w:tc>
      </w:tr>
      <w:tr w:rsidR="000763BB" w:rsidTr="000763BB">
        <w:trPr>
          <w:trHeight w:val="3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I have heard from all of my instructors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15.9%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6.8%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56.4%</w:t>
            </w:r>
          </w:p>
        </w:tc>
      </w:tr>
      <w:tr w:rsidR="000763BB" w:rsidTr="000763BB">
        <w:trPr>
          <w:trHeight w:val="3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Yes, I have heard from some, but not all of my instructors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21.2%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29.3%</w:t>
            </w:r>
          </w:p>
        </w:tc>
      </w:tr>
      <w:tr w:rsidR="000763BB" w:rsidTr="000763BB">
        <w:trPr>
          <w:trHeight w:val="3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No, I have not heard from any of my instructors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9.5%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11.7%</w:t>
            </w:r>
          </w:p>
        </w:tc>
      </w:tr>
      <w:tr w:rsidR="000763BB" w:rsidTr="000763BB">
        <w:trPr>
          <w:trHeight w:val="1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 Response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</w:tr>
      <w:tr w:rsidR="000763BB" w:rsidTr="000763BB">
        <w:trPr>
          <w:trHeight w:val="1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Column Total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38.8%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37.9%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20.6%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3BB" w:rsidRDefault="00076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100.0%</w:t>
            </w:r>
          </w:p>
        </w:tc>
      </w:tr>
    </w:tbl>
    <w:p w:rsidR="00036DA6" w:rsidRDefault="00036DA6" w:rsidP="00696605"/>
    <w:tbl>
      <w:tblPr>
        <w:tblW w:w="9948" w:type="dxa"/>
        <w:tblLook w:val="04A0" w:firstRow="1" w:lastRow="0" w:firstColumn="1" w:lastColumn="0" w:noHBand="0" w:noVBand="1"/>
      </w:tblPr>
      <w:tblGrid>
        <w:gridCol w:w="2227"/>
        <w:gridCol w:w="1544"/>
        <w:gridCol w:w="1544"/>
        <w:gridCol w:w="1544"/>
        <w:gridCol w:w="1544"/>
        <w:gridCol w:w="1545"/>
      </w:tblGrid>
      <w:tr w:rsidR="001F2E2B" w:rsidRPr="001F2E2B" w:rsidTr="001F2E2B">
        <w:trPr>
          <w:trHeight w:val="16"/>
        </w:trPr>
        <w:tc>
          <w:tcPr>
            <w:tcW w:w="9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E2B" w:rsidRPr="001F2E2B" w:rsidRDefault="001F2E2B" w:rsidP="001F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Table 3.</w:t>
            </w:r>
            <w:r w:rsidR="003F3D0A">
              <w:rPr>
                <w:rFonts w:ascii="Calibri" w:eastAsia="Times New Roman" w:hAnsi="Calibri" w:cs="Calibri"/>
                <w:color w:val="000000"/>
              </w:rPr>
              <w:t>2</w:t>
            </w:r>
            <w:r w:rsidRPr="001F2E2B">
              <w:rPr>
                <w:rFonts w:ascii="Calibri" w:eastAsia="Times New Roman" w:hAnsi="Calibri" w:cs="Calibri"/>
                <w:color w:val="000000"/>
              </w:rPr>
              <w:t xml:space="preserve"> Crosstab of Faculty Communication and Awareness of Class Status</w:t>
            </w:r>
          </w:p>
        </w:tc>
      </w:tr>
      <w:tr w:rsidR="001F2E2B" w:rsidRPr="001F2E2B" w:rsidTr="000763BB">
        <w:trPr>
          <w:trHeight w:val="5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B" w:rsidRPr="001F2E2B" w:rsidRDefault="000763BB" w:rsidP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63BB">
              <w:rPr>
                <w:rFonts w:ascii="Calibri" w:eastAsia="Times New Roman" w:hAnsi="Calibri" w:cs="Calibri"/>
                <w:color w:val="000000"/>
              </w:rPr>
              <w:t>After 5p on March 27</w:t>
            </w:r>
            <w:r w:rsidRPr="00835D7B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835D7B">
              <w:rPr>
                <w:rFonts w:ascii="Calibri" w:eastAsia="Times New Roman" w:hAnsi="Calibri" w:cs="Calibri"/>
                <w:color w:val="000000"/>
              </w:rPr>
              <w:t xml:space="preserve"> Group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2B" w:rsidRPr="001F2E2B" w:rsidRDefault="001F2E2B" w:rsidP="001F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Yes, I know the status for all of my courses.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2B" w:rsidRPr="001F2E2B" w:rsidRDefault="001F2E2B" w:rsidP="001F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Yes, I know the status for some of my courses.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2B" w:rsidRPr="001F2E2B" w:rsidRDefault="001F2E2B" w:rsidP="001F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No, I do not know the status for any of my courses.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2B" w:rsidRPr="001F2E2B" w:rsidRDefault="001F2E2B" w:rsidP="001F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 xml:space="preserve">No Response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2B" w:rsidRPr="001F2E2B" w:rsidRDefault="001F2E2B" w:rsidP="001F2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Row Total</w:t>
            </w:r>
          </w:p>
        </w:tc>
      </w:tr>
      <w:tr w:rsidR="00036DA6" w:rsidRPr="001F2E2B" w:rsidTr="00036DA6">
        <w:trPr>
          <w:trHeight w:val="3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A6" w:rsidRPr="001F2E2B" w:rsidRDefault="00036DA6" w:rsidP="0003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Yes, I have heard from all of my instructors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57.1%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9.8%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3.1%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0.3%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70.3%</w:t>
            </w:r>
          </w:p>
        </w:tc>
      </w:tr>
      <w:tr w:rsidR="00036DA6" w:rsidRPr="001F2E2B" w:rsidTr="00036DA6">
        <w:trPr>
          <w:trHeight w:val="3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A6" w:rsidRPr="001F2E2B" w:rsidRDefault="00036DA6" w:rsidP="0003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Yes, I have heard from some, but not all of my instructors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2.7%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14.7%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2.4%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19.8%</w:t>
            </w:r>
          </w:p>
        </w:tc>
      </w:tr>
      <w:tr w:rsidR="00036DA6" w:rsidRPr="001F2E2B" w:rsidTr="00036DA6">
        <w:trPr>
          <w:trHeight w:val="3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A6" w:rsidRPr="001F2E2B" w:rsidRDefault="00036DA6" w:rsidP="0003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No, I have not heard from any of my instructors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0.7%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5.3%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6.5%</w:t>
            </w:r>
          </w:p>
        </w:tc>
      </w:tr>
      <w:tr w:rsidR="00036DA6" w:rsidRPr="001F2E2B" w:rsidTr="00036DA6">
        <w:trPr>
          <w:trHeight w:val="1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A6" w:rsidRPr="001F2E2B" w:rsidRDefault="00036DA6" w:rsidP="0003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 xml:space="preserve">No Response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0.2%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0.1%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0.1%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3.1%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3.3%</w:t>
            </w:r>
          </w:p>
        </w:tc>
      </w:tr>
      <w:tr w:rsidR="00036DA6" w:rsidRPr="001F2E2B" w:rsidTr="00036DA6">
        <w:trPr>
          <w:trHeight w:val="16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DA6" w:rsidRPr="001F2E2B" w:rsidRDefault="00036DA6" w:rsidP="0003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E2B">
              <w:rPr>
                <w:rFonts w:ascii="Calibri" w:eastAsia="Times New Roman" w:hAnsi="Calibri" w:cs="Calibri"/>
                <w:color w:val="000000"/>
              </w:rPr>
              <w:t>Column Total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60.7%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24.9%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10.8%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Pr="00CD17A3" w:rsidRDefault="00036DA6" w:rsidP="00036DA6">
            <w:pPr>
              <w:jc w:val="right"/>
            </w:pPr>
            <w:r w:rsidRPr="00CD17A3">
              <w:t>3.5%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A6" w:rsidRDefault="00036DA6" w:rsidP="00036DA6">
            <w:pPr>
              <w:jc w:val="right"/>
            </w:pPr>
            <w:r w:rsidRPr="00CD17A3">
              <w:t>100.0%</w:t>
            </w:r>
          </w:p>
        </w:tc>
      </w:tr>
    </w:tbl>
    <w:p w:rsidR="001F2E2B" w:rsidRDefault="001F2E2B" w:rsidP="00696605"/>
    <w:p w:rsidR="000763BB" w:rsidRDefault="000763BB" w:rsidP="00696605">
      <w:r>
        <w:rPr>
          <w:noProof/>
        </w:rPr>
        <w:lastRenderedPageBreak/>
        <w:drawing>
          <wp:inline distT="0" distB="0" distL="0" distR="0" wp14:anchorId="0EFEAB9B" wp14:editId="25534AD1">
            <wp:extent cx="54864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FEC" w:rsidRPr="00064796" w:rsidRDefault="00CE1FEC" w:rsidP="00CE1FEC">
      <w:pPr>
        <w:rPr>
          <w:sz w:val="32"/>
          <w:szCs w:val="32"/>
          <w:u w:val="single"/>
        </w:rPr>
      </w:pPr>
      <w:r w:rsidRPr="00064796">
        <w:rPr>
          <w:sz w:val="32"/>
          <w:szCs w:val="32"/>
          <w:u w:val="single"/>
        </w:rPr>
        <w:t>Connectivity</w:t>
      </w:r>
    </w:p>
    <w:p w:rsidR="00CE1FEC" w:rsidRPr="00064796" w:rsidRDefault="00064796" w:rsidP="00CE1FEC">
      <w:pPr>
        <w:pStyle w:val="ListParagraph"/>
        <w:numPr>
          <w:ilvl w:val="0"/>
          <w:numId w:val="3"/>
        </w:numPr>
      </w:pPr>
      <w:r w:rsidRPr="00064796">
        <w:t>About 4.0</w:t>
      </w:r>
      <w:r w:rsidR="00CE1FEC" w:rsidRPr="00064796">
        <w:t xml:space="preserve">% of respondents said they do </w:t>
      </w:r>
      <w:r w:rsidR="0000662A" w:rsidRPr="00064796">
        <w:t>no</w:t>
      </w:r>
      <w:r w:rsidR="00DB5C66" w:rsidRPr="00064796">
        <w:t>t have</w:t>
      </w:r>
      <w:r w:rsidR="0000662A" w:rsidRPr="00064796">
        <w:t xml:space="preserve"> reliable </w:t>
      </w:r>
      <w:r w:rsidR="00CE1FEC" w:rsidRPr="00064796">
        <w:t>internet services</w:t>
      </w:r>
      <w:r w:rsidR="0000662A" w:rsidRPr="00064796">
        <w:t xml:space="preserve"> and cannot obtain such services</w:t>
      </w:r>
      <w:r w:rsidRPr="00064796">
        <w:t>.</w:t>
      </w:r>
    </w:p>
    <w:p w:rsidR="00CE1FEC" w:rsidRDefault="000763BB" w:rsidP="00696605">
      <w:r>
        <w:rPr>
          <w:noProof/>
        </w:rPr>
        <w:drawing>
          <wp:inline distT="0" distB="0" distL="0" distR="0" wp14:anchorId="42B7D531" wp14:editId="643931B5">
            <wp:extent cx="5486400" cy="3059430"/>
            <wp:effectExtent l="0" t="0" r="0" b="76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4796" w:rsidRDefault="00064796" w:rsidP="001C3D3D">
      <w:pPr>
        <w:rPr>
          <w:sz w:val="32"/>
          <w:szCs w:val="32"/>
          <w:u w:val="single"/>
        </w:rPr>
      </w:pPr>
    </w:p>
    <w:p w:rsidR="00064796" w:rsidRDefault="00064796" w:rsidP="001C3D3D">
      <w:pPr>
        <w:rPr>
          <w:sz w:val="32"/>
          <w:szCs w:val="32"/>
          <w:u w:val="single"/>
        </w:rPr>
      </w:pPr>
    </w:p>
    <w:p w:rsidR="00064796" w:rsidRDefault="00064796" w:rsidP="001C3D3D">
      <w:pPr>
        <w:rPr>
          <w:sz w:val="32"/>
          <w:szCs w:val="32"/>
          <w:u w:val="single"/>
        </w:rPr>
      </w:pPr>
    </w:p>
    <w:p w:rsidR="001C3D3D" w:rsidRPr="00696605" w:rsidRDefault="001C3D3D" w:rsidP="001C3D3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Preparation</w:t>
      </w:r>
      <w:r w:rsidR="0000662A">
        <w:rPr>
          <w:sz w:val="32"/>
          <w:szCs w:val="32"/>
          <w:u w:val="single"/>
        </w:rPr>
        <w:t>/Comfortability</w:t>
      </w:r>
      <w:r>
        <w:rPr>
          <w:sz w:val="32"/>
          <w:szCs w:val="32"/>
          <w:u w:val="single"/>
        </w:rPr>
        <w:t xml:space="preserve"> for Remote Instruction </w:t>
      </w:r>
    </w:p>
    <w:p w:rsidR="001C3D3D" w:rsidRPr="00064796" w:rsidRDefault="0000662A" w:rsidP="001C3D3D">
      <w:pPr>
        <w:pStyle w:val="ListParagraph"/>
        <w:numPr>
          <w:ilvl w:val="0"/>
          <w:numId w:val="3"/>
        </w:numPr>
      </w:pPr>
      <w:r w:rsidRPr="00064796">
        <w:t xml:space="preserve">Respondents commented that access to textbooks and software </w:t>
      </w:r>
      <w:r w:rsidR="00064796" w:rsidRPr="00064796">
        <w:t>(</w:t>
      </w:r>
      <w:r w:rsidRPr="00064796">
        <w:t>Adobe</w:t>
      </w:r>
      <w:r w:rsidR="00064796" w:rsidRPr="00064796">
        <w:t>)</w:t>
      </w:r>
      <w:r w:rsidRPr="00064796">
        <w:t xml:space="preserve"> would be helpful.</w:t>
      </w:r>
      <w:r w:rsidR="00DB5C66" w:rsidRPr="00064796">
        <w:t xml:space="preserve"> </w:t>
      </w:r>
    </w:p>
    <w:p w:rsidR="00752FDB" w:rsidRPr="00064796" w:rsidRDefault="00752FDB" w:rsidP="001C3D3D">
      <w:pPr>
        <w:pStyle w:val="ListParagraph"/>
        <w:numPr>
          <w:ilvl w:val="0"/>
          <w:numId w:val="3"/>
        </w:numPr>
      </w:pPr>
      <w:r w:rsidRPr="00064796">
        <w:t xml:space="preserve">In addition to a laptop loan program, the district may want to consider </w:t>
      </w:r>
      <w:r w:rsidR="00064796" w:rsidRPr="00064796">
        <w:t>a loan program for webcams as 22</w:t>
      </w:r>
      <w:r w:rsidRPr="00064796">
        <w:t xml:space="preserve">% of respondents said they don’t have a webcam for video conferences. </w:t>
      </w:r>
    </w:p>
    <w:p w:rsidR="00752FDB" w:rsidRPr="00064796" w:rsidRDefault="00064796" w:rsidP="00752FDB">
      <w:pPr>
        <w:pStyle w:val="ListParagraph"/>
        <w:numPr>
          <w:ilvl w:val="0"/>
          <w:numId w:val="3"/>
        </w:numPr>
      </w:pPr>
      <w:r w:rsidRPr="00064796">
        <w:t>About 64</w:t>
      </w:r>
      <w:r w:rsidR="00752FDB" w:rsidRPr="00064796">
        <w:t>% of Peralta students are very or moderately comfortable with accessing instru</w:t>
      </w:r>
      <w:r w:rsidRPr="00064796">
        <w:t>ction virtually whereas about 16</w:t>
      </w:r>
      <w:r w:rsidR="00752FDB" w:rsidRPr="00064796">
        <w:t xml:space="preserve">% are not. </w:t>
      </w:r>
    </w:p>
    <w:p w:rsidR="00752FDB" w:rsidRPr="00064796" w:rsidRDefault="00752FDB" w:rsidP="00752FDB">
      <w:pPr>
        <w:pStyle w:val="ListParagraph"/>
        <w:numPr>
          <w:ilvl w:val="0"/>
          <w:numId w:val="3"/>
        </w:numPr>
      </w:pPr>
      <w:r w:rsidRPr="00064796">
        <w:t xml:space="preserve">Most are comfortable using Email and Canvas while about </w:t>
      </w:r>
      <w:r w:rsidR="00064796" w:rsidRPr="00064796">
        <w:t>19</w:t>
      </w:r>
      <w:r w:rsidRPr="00064796">
        <w:t xml:space="preserve">% are not comfortable using video conferencing for remote learning. </w:t>
      </w:r>
    </w:p>
    <w:p w:rsidR="00752FDB" w:rsidRPr="00064796" w:rsidRDefault="00064796" w:rsidP="00752FDB">
      <w:pPr>
        <w:pStyle w:val="ListParagraph"/>
        <w:numPr>
          <w:ilvl w:val="0"/>
          <w:numId w:val="3"/>
        </w:numPr>
      </w:pPr>
      <w:r w:rsidRPr="00064796">
        <w:t>Of the responses collected by March 27</w:t>
      </w:r>
      <w:r w:rsidRPr="00064796">
        <w:rPr>
          <w:vertAlign w:val="superscript"/>
        </w:rPr>
        <w:t>th</w:t>
      </w:r>
      <w:r w:rsidRPr="00064796">
        <w:t xml:space="preserve">, </w:t>
      </w:r>
      <w:r w:rsidR="00752FDB" w:rsidRPr="00064796">
        <w:t>27% of respondents said they know who to contact for a technical</w:t>
      </w:r>
      <w:r w:rsidRPr="00064796">
        <w:t xml:space="preserve"> issue with remote instruction whereas after March 27</w:t>
      </w:r>
      <w:r w:rsidRPr="00064796">
        <w:rPr>
          <w:vertAlign w:val="superscript"/>
        </w:rPr>
        <w:t>th</w:t>
      </w:r>
      <w:r w:rsidRPr="00064796">
        <w:t xml:space="preserve"> about 33.5% said so. There is a need to improve awareness in this area</w:t>
      </w:r>
      <w:r w:rsidR="00752FDB" w:rsidRPr="00064796">
        <w:t xml:space="preserve">. </w:t>
      </w:r>
    </w:p>
    <w:p w:rsidR="00752FDB" w:rsidRPr="00064796" w:rsidRDefault="00752FDB" w:rsidP="00752FDB">
      <w:pPr>
        <w:pStyle w:val="ListParagraph"/>
        <w:numPr>
          <w:ilvl w:val="0"/>
          <w:numId w:val="3"/>
        </w:numPr>
      </w:pPr>
      <w:r w:rsidRPr="00064796">
        <w:t xml:space="preserve">Table </w:t>
      </w:r>
      <w:r w:rsidR="00064796" w:rsidRPr="00064796">
        <w:t>6</w:t>
      </w:r>
      <w:r w:rsidRPr="00064796">
        <w:t xml:space="preserve"> displays the percentage of respondents who said a loaned laptop would help. </w:t>
      </w:r>
    </w:p>
    <w:p w:rsidR="000763BB" w:rsidRPr="000763BB" w:rsidRDefault="000763BB" w:rsidP="000763BB">
      <w:pPr>
        <w:pStyle w:val="ListParagraph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260"/>
        <w:gridCol w:w="1080"/>
        <w:gridCol w:w="1435"/>
      </w:tblGrid>
      <w:tr w:rsidR="000763BB" w:rsidRPr="000763BB" w:rsidTr="000763BB">
        <w:trPr>
          <w:trHeight w:val="300"/>
        </w:trPr>
        <w:tc>
          <w:tcPr>
            <w:tcW w:w="9350" w:type="dxa"/>
            <w:gridSpan w:val="4"/>
            <w:noWrap/>
            <w:hideMark/>
          </w:tcPr>
          <w:p w:rsidR="000763BB" w:rsidRPr="000763BB" w:rsidRDefault="000763BB">
            <w:r w:rsidRPr="000763BB">
              <w:t>Table 4. Preparation for Remote Instruction: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> 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center"/>
            </w:pPr>
            <w:r w:rsidRPr="000763BB">
              <w:t>Yes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center"/>
            </w:pPr>
            <w:r w:rsidRPr="000763BB">
              <w:t>No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center"/>
            </w:pPr>
            <w:r w:rsidRPr="000763BB">
              <w:t>Do Not Know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access to the Internet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90%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6%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1%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 computer I can use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80%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15%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2%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am familiar with Canvas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85%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9%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2%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access to Zoom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69%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15%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13%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 quiet place to do my schoolwork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72%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20%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5%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access to the software I need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61%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16%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20%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 webcam for video conferences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68%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22%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6%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access to a printer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53%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41%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3%</w:t>
            </w:r>
          </w:p>
        </w:tc>
      </w:tr>
      <w:tr w:rsidR="000763BB" w:rsidRPr="000763BB" w:rsidTr="000763BB">
        <w:trPr>
          <w:trHeight w:val="300"/>
        </w:trPr>
        <w:tc>
          <w:tcPr>
            <w:tcW w:w="5575" w:type="dxa"/>
            <w:noWrap/>
            <w:hideMark/>
          </w:tcPr>
          <w:p w:rsidR="000763BB" w:rsidRPr="000763BB" w:rsidRDefault="000763BB">
            <w:r w:rsidRPr="000763BB">
              <w:t xml:space="preserve"> I have access to a scanner</w:t>
            </w:r>
          </w:p>
        </w:tc>
        <w:tc>
          <w:tcPr>
            <w:tcW w:w="126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42%</w:t>
            </w:r>
          </w:p>
        </w:tc>
        <w:tc>
          <w:tcPr>
            <w:tcW w:w="1080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48%</w:t>
            </w:r>
          </w:p>
        </w:tc>
        <w:tc>
          <w:tcPr>
            <w:tcW w:w="1435" w:type="dxa"/>
            <w:noWrap/>
            <w:hideMark/>
          </w:tcPr>
          <w:p w:rsidR="000763BB" w:rsidRPr="000763BB" w:rsidRDefault="000763BB" w:rsidP="000763BB">
            <w:pPr>
              <w:jc w:val="right"/>
            </w:pPr>
            <w:r w:rsidRPr="000763BB">
              <w:t>6%</w:t>
            </w:r>
          </w:p>
        </w:tc>
      </w:tr>
    </w:tbl>
    <w:p w:rsidR="00752FDB" w:rsidRDefault="00752FDB" w:rsidP="00752FDB"/>
    <w:p w:rsidR="00752FDB" w:rsidRDefault="000763BB" w:rsidP="00752FDB">
      <w:r>
        <w:rPr>
          <w:noProof/>
        </w:rPr>
        <w:drawing>
          <wp:inline distT="0" distB="0" distL="0" distR="0" wp14:anchorId="0E77AFAD" wp14:editId="767A079D">
            <wp:extent cx="5943600" cy="2468880"/>
            <wp:effectExtent l="0" t="0" r="0" b="762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5EB9" w:rsidRDefault="003E5EB9" w:rsidP="00696605"/>
    <w:p w:rsidR="009C20FE" w:rsidRDefault="009C20FE" w:rsidP="009C20FE"/>
    <w:tbl>
      <w:tblPr>
        <w:tblW w:w="9631" w:type="dxa"/>
        <w:tblLook w:val="04A0" w:firstRow="1" w:lastRow="0" w:firstColumn="1" w:lastColumn="0" w:noHBand="0" w:noVBand="1"/>
      </w:tblPr>
      <w:tblGrid>
        <w:gridCol w:w="3009"/>
        <w:gridCol w:w="1771"/>
        <w:gridCol w:w="1665"/>
        <w:gridCol w:w="1771"/>
        <w:gridCol w:w="1415"/>
      </w:tblGrid>
      <w:tr w:rsidR="009C20FE" w:rsidRPr="009C20FE" w:rsidTr="000763BB">
        <w:trPr>
          <w:trHeight w:val="196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FE" w:rsidRPr="009C20FE" w:rsidRDefault="009C20FE" w:rsidP="009C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Table 5. </w:t>
            </w:r>
            <w:r w:rsidRPr="009C20FE">
              <w:rPr>
                <w:rFonts w:ascii="Calibri" w:eastAsia="Times New Roman" w:hAnsi="Calibri" w:cs="Calibri"/>
                <w:color w:val="000000"/>
              </w:rPr>
              <w:t>How comfortable are you with using the following platforms to complete your courses in a remote or modified learning environment?</w:t>
            </w:r>
          </w:p>
        </w:tc>
      </w:tr>
      <w:tr w:rsidR="009C20FE" w:rsidRPr="009C20FE" w:rsidTr="000763BB">
        <w:trPr>
          <w:trHeight w:val="593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FE" w:rsidRPr="009C20FE" w:rsidRDefault="009C20FE" w:rsidP="009C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0FE" w:rsidRPr="009C20FE" w:rsidRDefault="009C20FE" w:rsidP="009C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Very/moderately comfortable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0FE" w:rsidRPr="009C20FE" w:rsidRDefault="009C20FE" w:rsidP="009C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Neither comfortable nor uncomfortable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0FE" w:rsidRPr="009C20FE" w:rsidRDefault="009C20FE" w:rsidP="009C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Very/moderately uncomfortable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0FE" w:rsidRPr="009C20FE" w:rsidRDefault="009C20FE" w:rsidP="009C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No Response</w:t>
            </w:r>
          </w:p>
        </w:tc>
      </w:tr>
      <w:tr w:rsidR="000763BB" w:rsidRPr="009C20FE" w:rsidTr="000763BB">
        <w:trPr>
          <w:trHeight w:val="19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BB" w:rsidRPr="009C20FE" w:rsidRDefault="000763BB" w:rsidP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Video Conferencing (i.e. Zoom)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57.8%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20.0%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18.6%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3.6%</w:t>
            </w:r>
          </w:p>
        </w:tc>
      </w:tr>
      <w:tr w:rsidR="000763BB" w:rsidRPr="009C20FE" w:rsidTr="000763BB">
        <w:trPr>
          <w:trHeight w:val="19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BB" w:rsidRPr="009C20FE" w:rsidRDefault="000763BB" w:rsidP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Canvas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75.5%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11.8%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7.5%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5.1%</w:t>
            </w:r>
          </w:p>
        </w:tc>
      </w:tr>
      <w:tr w:rsidR="000763BB" w:rsidRPr="009C20FE" w:rsidTr="000763BB">
        <w:trPr>
          <w:trHeight w:val="19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BB" w:rsidRPr="009C20FE" w:rsidRDefault="000763BB" w:rsidP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82.6%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7.3%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3.8%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6.3%</w:t>
            </w:r>
          </w:p>
        </w:tc>
      </w:tr>
      <w:tr w:rsidR="000763BB" w:rsidRPr="009C20FE" w:rsidTr="000763BB">
        <w:trPr>
          <w:trHeight w:val="196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BB" w:rsidRPr="009C20FE" w:rsidRDefault="000763BB" w:rsidP="0007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0FE">
              <w:rPr>
                <w:rFonts w:ascii="Calibri" w:eastAsia="Times New Roman" w:hAnsi="Calibri" w:cs="Calibri"/>
                <w:color w:val="000000"/>
              </w:rPr>
              <w:t>Instructor's Web Page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57.7%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24.5%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Pr="005A0813" w:rsidRDefault="000763BB" w:rsidP="000763BB">
            <w:pPr>
              <w:jc w:val="right"/>
            </w:pPr>
            <w:r w:rsidRPr="005A0813">
              <w:t>10.1%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BB" w:rsidRDefault="000763BB" w:rsidP="000763BB">
            <w:pPr>
              <w:jc w:val="right"/>
            </w:pPr>
            <w:r w:rsidRPr="005A0813">
              <w:t>7.7%</w:t>
            </w:r>
          </w:p>
        </w:tc>
      </w:tr>
    </w:tbl>
    <w:p w:rsidR="009C20FE" w:rsidRDefault="009C20FE" w:rsidP="009C20FE"/>
    <w:p w:rsidR="002E0474" w:rsidRDefault="000763BB" w:rsidP="009C20FE">
      <w:r>
        <w:rPr>
          <w:noProof/>
        </w:rPr>
        <w:drawing>
          <wp:inline distT="0" distB="0" distL="0" distR="0" wp14:anchorId="0B5AE566" wp14:editId="08BBFBAA">
            <wp:extent cx="5943600" cy="2621915"/>
            <wp:effectExtent l="0" t="0" r="0" b="698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0474" w:rsidRDefault="002E0474" w:rsidP="009C20FE"/>
    <w:p w:rsidR="00064796" w:rsidRDefault="00064796" w:rsidP="009C20FE"/>
    <w:p w:rsidR="00064796" w:rsidRDefault="00064796" w:rsidP="009C20FE"/>
    <w:p w:rsidR="00064796" w:rsidRDefault="00064796" w:rsidP="009C20FE"/>
    <w:p w:rsidR="00064796" w:rsidRDefault="00064796" w:rsidP="009C20FE"/>
    <w:p w:rsidR="00064796" w:rsidRDefault="00064796" w:rsidP="009C20FE"/>
    <w:p w:rsidR="00064796" w:rsidRDefault="00064796" w:rsidP="009C20FE"/>
    <w:p w:rsidR="00064796" w:rsidRDefault="00064796" w:rsidP="009C20FE"/>
    <w:p w:rsidR="00064796" w:rsidRDefault="00064796" w:rsidP="009C20FE"/>
    <w:p w:rsidR="00064796" w:rsidRDefault="00064796" w:rsidP="009C20FE"/>
    <w:tbl>
      <w:tblPr>
        <w:tblW w:w="7608" w:type="dxa"/>
        <w:tblInd w:w="-5" w:type="dxa"/>
        <w:tblLook w:val="04A0" w:firstRow="1" w:lastRow="0" w:firstColumn="1" w:lastColumn="0" w:noHBand="0" w:noVBand="1"/>
      </w:tblPr>
      <w:tblGrid>
        <w:gridCol w:w="6160"/>
        <w:gridCol w:w="1448"/>
      </w:tblGrid>
      <w:tr w:rsidR="00D1253F" w:rsidRPr="00D1253F" w:rsidTr="00D1253F">
        <w:trPr>
          <w:trHeight w:val="28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Table 6. </w:t>
            </w:r>
            <w:r w:rsidRPr="00D1253F">
              <w:rPr>
                <w:rFonts w:ascii="Calibri" w:eastAsia="Times New Roman" w:hAnsi="Calibri" w:cs="Calibri"/>
                <w:color w:val="000000"/>
              </w:rPr>
              <w:t>If the college loaned you a laptop would this assist you?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Student Groups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CalWorks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77.5%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Foster Youth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17D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75.0%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CAFYES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680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69.2%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Umojia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A83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64.6%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Athletes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86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60.0%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EOPS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86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59.9%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BOG Recipient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68C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49.3%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Pell Recipient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78C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48.4%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New Matric.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A8E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44.7%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DSPS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C8F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43.2%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Oakland Promise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C8F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42.9%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Full-time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D90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42.0%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FY EXP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D90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41.7%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Puente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E90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40.9%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VET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F92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38.9%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253F">
              <w:rPr>
                <w:rFonts w:ascii="Calibri" w:eastAsia="Times New Roman" w:hAnsi="Calibri" w:cs="Calibri"/>
                <w:b/>
                <w:bCs/>
                <w:color w:val="000000"/>
              </w:rPr>
              <w:t>All Respondents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E092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253F">
              <w:rPr>
                <w:rFonts w:ascii="Calibri" w:eastAsia="Times New Roman" w:hAnsi="Calibri" w:cs="Calibri"/>
                <w:b/>
                <w:bCs/>
                <w:color w:val="000000"/>
              </w:rPr>
              <w:t>38.6%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Berkeley Promise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495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33.3%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Exempt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696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31.3%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Alameda Promise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A99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26.5%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A99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26.1%</w:t>
            </w:r>
          </w:p>
        </w:tc>
      </w:tr>
      <w:tr w:rsidR="00D1253F" w:rsidRPr="00D1253F" w:rsidTr="00D1253F">
        <w:trPr>
          <w:trHeight w:val="28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Persist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9C"/>
            <w:noWrap/>
            <w:vAlign w:val="bottom"/>
            <w:hideMark/>
          </w:tcPr>
          <w:p w:rsidR="00D1253F" w:rsidRPr="00D1253F" w:rsidRDefault="00D1253F" w:rsidP="00D12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253F">
              <w:rPr>
                <w:rFonts w:ascii="Calibri" w:eastAsia="Times New Roman" w:hAnsi="Calibri" w:cs="Calibri"/>
                <w:color w:val="000000"/>
              </w:rPr>
              <w:t>20.0%</w:t>
            </w:r>
          </w:p>
        </w:tc>
      </w:tr>
    </w:tbl>
    <w:p w:rsidR="00D1253F" w:rsidRDefault="00D1253F" w:rsidP="009C20FE"/>
    <w:p w:rsidR="00595A23" w:rsidRPr="00696605" w:rsidRDefault="00595A23" w:rsidP="00595A2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Other Support/Services Needed for Remote Instruction</w:t>
      </w:r>
    </w:p>
    <w:p w:rsidR="00064796" w:rsidRPr="001902D5" w:rsidRDefault="00EE3A76" w:rsidP="009C20FE">
      <w:pPr>
        <w:pStyle w:val="ListParagraph"/>
        <w:numPr>
          <w:ilvl w:val="0"/>
          <w:numId w:val="3"/>
        </w:numPr>
      </w:pPr>
      <w:r w:rsidRPr="001902D5">
        <w:t>The top five additional support/services students anticipate needing a</w:t>
      </w:r>
      <w:r w:rsidR="00CC40B6" w:rsidRPr="001902D5">
        <w:t>re Academic Counseling (32%), Academic Support Center (29</w:t>
      </w:r>
      <w:r w:rsidRPr="001902D5">
        <w:t xml:space="preserve">%), </w:t>
      </w:r>
      <w:r w:rsidR="001902D5" w:rsidRPr="001902D5">
        <w:t xml:space="preserve">Financial Aid (27%), </w:t>
      </w:r>
      <w:r w:rsidR="00CC40B6" w:rsidRPr="001902D5">
        <w:t xml:space="preserve">Admissions and Records (24%), </w:t>
      </w:r>
      <w:r w:rsidRPr="001902D5">
        <w:t xml:space="preserve">and Library (22%).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05"/>
        <w:gridCol w:w="2250"/>
      </w:tblGrid>
      <w:tr w:rsidR="001902D5" w:rsidRPr="00CC40B6" w:rsidTr="001902D5">
        <w:trPr>
          <w:trHeight w:val="323"/>
        </w:trPr>
        <w:tc>
          <w:tcPr>
            <w:tcW w:w="9355" w:type="dxa"/>
            <w:gridSpan w:val="2"/>
            <w:noWrap/>
            <w:hideMark/>
          </w:tcPr>
          <w:p w:rsidR="001902D5" w:rsidRPr="00CC40B6" w:rsidRDefault="001902D5" w:rsidP="003E4E11">
            <w:r w:rsidRPr="00CC40B6">
              <w:t xml:space="preserve">Table </w:t>
            </w:r>
            <w:r w:rsidR="003E4E11">
              <w:t>7</w:t>
            </w:r>
            <w:r w:rsidRPr="00CC40B6">
              <w:t>. Do you anticipate needing any of the following support during remote instruction? 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 w:rsidP="00CC40B6">
            <w:r w:rsidRPr="00CC40B6">
              <w:t>Support and Services Categories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% of Respondents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Academic Counseling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32%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Academic Support Center (Tutoring, Writing Center, etc.)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29%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Financial Aid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27%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Admissions and Records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24%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Library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22%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Transfer Applications and Information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16%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Food Pantry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13%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Counseling - Emotional Support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12%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Student Health Services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9%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Disability Support Services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8%</w:t>
            </w:r>
          </w:p>
        </w:tc>
      </w:tr>
      <w:tr w:rsidR="00CC40B6" w:rsidRPr="00CC40B6" w:rsidTr="001902D5">
        <w:trPr>
          <w:trHeight w:val="82"/>
        </w:trPr>
        <w:tc>
          <w:tcPr>
            <w:tcW w:w="7105" w:type="dxa"/>
            <w:noWrap/>
            <w:hideMark/>
          </w:tcPr>
          <w:p w:rsidR="00CC40B6" w:rsidRPr="00CC40B6" w:rsidRDefault="00CC40B6">
            <w:r w:rsidRPr="00CC40B6">
              <w:t>Translation Services</w:t>
            </w:r>
          </w:p>
        </w:tc>
        <w:tc>
          <w:tcPr>
            <w:tcW w:w="2250" w:type="dxa"/>
            <w:noWrap/>
            <w:hideMark/>
          </w:tcPr>
          <w:p w:rsidR="00CC40B6" w:rsidRPr="00CC40B6" w:rsidRDefault="00CC40B6" w:rsidP="00CC40B6">
            <w:r w:rsidRPr="00CC40B6">
              <w:t>3%</w:t>
            </w:r>
          </w:p>
        </w:tc>
      </w:tr>
    </w:tbl>
    <w:p w:rsidR="00CC40B6" w:rsidRPr="00696605" w:rsidRDefault="00CC40B6" w:rsidP="001902D5"/>
    <w:sectPr w:rsidR="00CC40B6" w:rsidRPr="0069660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6C1" w:rsidRDefault="00F246C1" w:rsidP="00595A23">
      <w:pPr>
        <w:spacing w:after="0" w:line="240" w:lineRule="auto"/>
      </w:pPr>
      <w:r>
        <w:separator/>
      </w:r>
    </w:p>
  </w:endnote>
  <w:endnote w:type="continuationSeparator" w:id="0">
    <w:p w:rsidR="00F246C1" w:rsidRDefault="00F246C1" w:rsidP="005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287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5A23" w:rsidRDefault="00595A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E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E1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5A23" w:rsidRDefault="00595A23" w:rsidP="00595A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6C1" w:rsidRDefault="00F246C1" w:rsidP="00595A23">
      <w:pPr>
        <w:spacing w:after="0" w:line="240" w:lineRule="auto"/>
      </w:pPr>
      <w:r>
        <w:separator/>
      </w:r>
    </w:p>
  </w:footnote>
  <w:footnote w:type="continuationSeparator" w:id="0">
    <w:p w:rsidR="00F246C1" w:rsidRDefault="00F246C1" w:rsidP="0059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900"/>
    <w:multiLevelType w:val="hybridMultilevel"/>
    <w:tmpl w:val="BD0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4964"/>
    <w:multiLevelType w:val="hybridMultilevel"/>
    <w:tmpl w:val="8A9A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7325"/>
    <w:multiLevelType w:val="hybridMultilevel"/>
    <w:tmpl w:val="304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F6"/>
    <w:rsid w:val="0000662A"/>
    <w:rsid w:val="00036DA6"/>
    <w:rsid w:val="00064796"/>
    <w:rsid w:val="000763BB"/>
    <w:rsid w:val="000A2EBF"/>
    <w:rsid w:val="001902D5"/>
    <w:rsid w:val="001C3D3D"/>
    <w:rsid w:val="001E2176"/>
    <w:rsid w:val="001F2E2B"/>
    <w:rsid w:val="00220AC2"/>
    <w:rsid w:val="00222AE3"/>
    <w:rsid w:val="002E0474"/>
    <w:rsid w:val="00350C77"/>
    <w:rsid w:val="00392E2B"/>
    <w:rsid w:val="003E4E11"/>
    <w:rsid w:val="003E5EB9"/>
    <w:rsid w:val="003F3D0A"/>
    <w:rsid w:val="0041590F"/>
    <w:rsid w:val="0055325F"/>
    <w:rsid w:val="00595A23"/>
    <w:rsid w:val="00596F45"/>
    <w:rsid w:val="005B3CF4"/>
    <w:rsid w:val="00611894"/>
    <w:rsid w:val="00623588"/>
    <w:rsid w:val="00642277"/>
    <w:rsid w:val="00696605"/>
    <w:rsid w:val="00712947"/>
    <w:rsid w:val="00752FDB"/>
    <w:rsid w:val="007D6880"/>
    <w:rsid w:val="008171C4"/>
    <w:rsid w:val="00832259"/>
    <w:rsid w:val="00835D7B"/>
    <w:rsid w:val="00861911"/>
    <w:rsid w:val="008654CF"/>
    <w:rsid w:val="009C20FE"/>
    <w:rsid w:val="009D59E7"/>
    <w:rsid w:val="00A81C9E"/>
    <w:rsid w:val="00AB634B"/>
    <w:rsid w:val="00B040F6"/>
    <w:rsid w:val="00B731D7"/>
    <w:rsid w:val="00C21DE9"/>
    <w:rsid w:val="00C3137B"/>
    <w:rsid w:val="00CC40B6"/>
    <w:rsid w:val="00CE1FEC"/>
    <w:rsid w:val="00D1253F"/>
    <w:rsid w:val="00D80417"/>
    <w:rsid w:val="00DB5C66"/>
    <w:rsid w:val="00E723A9"/>
    <w:rsid w:val="00EC015C"/>
    <w:rsid w:val="00EE3A76"/>
    <w:rsid w:val="00F246C1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2E094-53E5-40D2-B6CE-E8053E1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23"/>
  </w:style>
  <w:style w:type="paragraph" w:styleId="Footer">
    <w:name w:val="footer"/>
    <w:basedOn w:val="Normal"/>
    <w:link w:val="FooterChar"/>
    <w:uiPriority w:val="99"/>
    <w:unhideWhenUsed/>
    <w:rsid w:val="0059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23"/>
  </w:style>
  <w:style w:type="table" w:styleId="TableGrid">
    <w:name w:val="Table Grid"/>
    <w:basedOn w:val="TableNormal"/>
    <w:uiPriority w:val="39"/>
    <w:rsid w:val="0081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doan\OneDrive%20-%20Peralta%20CCD\Surveys\Technology%20Needs%20Survey\Tech%20Needs%20Survey%20Analysis%20based%20on%20April%2015th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doan\OneDrive%20-%20Peralta%20CCD\Surveys\Technology%20Needs%20Survey\Tech%20Needs%20Survey%20Analysis%20based%20on%20April%2015th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doan\OneDrive%20-%20Peralta%20CCD\Surveys\Technology%20Needs%20Survey\Tech%20Needs%20Survey%20Analysis%20based%20on%20April%2015th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doan\OneDrive%20-%20Peralta%20CCD\Surveys\Technology%20Needs%20Survey\Tech%20Needs%20Survey%20Analysis%20based%20on%20April%2015th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doan\OneDrive%20-%20Peralta%20CCD\Surveys\Technology%20Needs%20Survey\Tech%20Needs%20Survey%20Analysis%20based%20on%20April%2015th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doan\OneDrive%20-%20Peralta%20CCD\Surveys\Technology%20Needs%20Survey\Tech%20Needs%20Survey%20Analysis%20based%20on%20April%2015th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Figure 1</a:t>
            </a:r>
            <a:r>
              <a:rPr lang="en-US" sz="1400" baseline="0"/>
              <a:t>. </a:t>
            </a:r>
            <a:r>
              <a:rPr lang="en-US" sz="1400"/>
              <a:t>Have you heard from your instructor(s) since Monday, March 12th?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Communication!$E$3</c:f>
              <c:strCache>
                <c:ptCount val="1"/>
                <c:pt idx="0">
                  <c:v>Before 5p on March 27th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Communication!$D$4:$D$7</c:f>
              <c:strCache>
                <c:ptCount val="4"/>
                <c:pt idx="0">
                  <c:v>Yes, I have heard from all of my instructors</c:v>
                </c:pt>
                <c:pt idx="1">
                  <c:v>Yes, I have heard from some, but not all of my instructors</c:v>
                </c:pt>
                <c:pt idx="2">
                  <c:v>No, I have not heard from any of my instructors</c:v>
                </c:pt>
                <c:pt idx="3">
                  <c:v>No Response</c:v>
                </c:pt>
              </c:strCache>
            </c:strRef>
          </c:cat>
          <c:val>
            <c:numRef>
              <c:f>Communication!$E$4:$E$7</c:f>
              <c:numCache>
                <c:formatCode>0%</c:formatCode>
                <c:ptCount val="4"/>
                <c:pt idx="0">
                  <c:v>0.56431535269709543</c:v>
                </c:pt>
                <c:pt idx="1">
                  <c:v>0.29294605809128632</c:v>
                </c:pt>
                <c:pt idx="2">
                  <c:v>0.11701244813278008</c:v>
                </c:pt>
                <c:pt idx="3">
                  <c:v>2.5726141078838173E-2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E5-4012-B2AF-11296850AD26}"/>
            </c:ext>
          </c:extLst>
        </c:ser>
        <c:ser>
          <c:idx val="1"/>
          <c:order val="1"/>
          <c:tx>
            <c:strRef>
              <c:f>Communication!$F$3</c:f>
              <c:strCache>
                <c:ptCount val="1"/>
                <c:pt idx="0">
                  <c:v>After 5p on March 27th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Communication!$D$4:$D$7</c:f>
              <c:strCache>
                <c:ptCount val="4"/>
                <c:pt idx="0">
                  <c:v>Yes, I have heard from all of my instructors</c:v>
                </c:pt>
                <c:pt idx="1">
                  <c:v>Yes, I have heard from some, but not all of my instructors</c:v>
                </c:pt>
                <c:pt idx="2">
                  <c:v>No, I have not heard from any of my instructors</c:v>
                </c:pt>
                <c:pt idx="3">
                  <c:v>No Response</c:v>
                </c:pt>
              </c:strCache>
            </c:strRef>
          </c:cat>
          <c:val>
            <c:numRef>
              <c:f>Communication!$F$4:$F$7</c:f>
              <c:numCache>
                <c:formatCode>0%</c:formatCode>
                <c:ptCount val="4"/>
                <c:pt idx="0">
                  <c:v>0.70298047276464548</c:v>
                </c:pt>
                <c:pt idx="1">
                  <c:v>0.19835560123329907</c:v>
                </c:pt>
                <c:pt idx="2">
                  <c:v>6.5262076053442961E-2</c:v>
                </c:pt>
                <c:pt idx="3">
                  <c:v>3.340184994861254E-2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E5-4012-B2AF-11296850AD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32951807"/>
        <c:axId val="1132947231"/>
      </c:barChart>
      <c:valAx>
        <c:axId val="113294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951807"/>
        <c:crosses val="autoZero"/>
        <c:crossBetween val="between"/>
      </c:valAx>
      <c:catAx>
        <c:axId val="113295180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947231"/>
        <c:crosses val="autoZero"/>
        <c:auto val="1"/>
        <c:lblAlgn val="l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Figure 2. Are you clear on the status of each of your courses?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Communication!$E$11</c:f>
              <c:strCache>
                <c:ptCount val="1"/>
                <c:pt idx="0">
                  <c:v>Before 5p on March 27th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Communication!$D$12:$D$15</c:f>
              <c:strCache>
                <c:ptCount val="4"/>
                <c:pt idx="0">
                  <c:v>Yes, I know the status for all of my courses.</c:v>
                </c:pt>
                <c:pt idx="1">
                  <c:v>Yes, I know the status for some of my courses.</c:v>
                </c:pt>
                <c:pt idx="2">
                  <c:v>No, I do not know the status for any of my courses.</c:v>
                </c:pt>
                <c:pt idx="3">
                  <c:v>No Response</c:v>
                </c:pt>
              </c:strCache>
            </c:strRef>
          </c:cat>
          <c:val>
            <c:numRef>
              <c:f>Communication!$E$12:$E$15</c:f>
              <c:numCache>
                <c:formatCode>0%</c:formatCode>
                <c:ptCount val="4"/>
                <c:pt idx="0">
                  <c:v>0.38838174273858922</c:v>
                </c:pt>
                <c:pt idx="1">
                  <c:v>0.37925311203319501</c:v>
                </c:pt>
                <c:pt idx="2">
                  <c:v>0.20580912863070538</c:v>
                </c:pt>
                <c:pt idx="3">
                  <c:v>2.6556016597510373E-2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9-49D0-8D5F-97B65BCBB49B}"/>
            </c:ext>
          </c:extLst>
        </c:ser>
        <c:ser>
          <c:idx val="1"/>
          <c:order val="1"/>
          <c:tx>
            <c:strRef>
              <c:f>Communication!$F$11</c:f>
              <c:strCache>
                <c:ptCount val="1"/>
                <c:pt idx="0">
                  <c:v>After 5p on March 27th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Communication!$D$12:$D$15</c:f>
              <c:strCache>
                <c:ptCount val="4"/>
                <c:pt idx="0">
                  <c:v>Yes, I know the status for all of my courses.</c:v>
                </c:pt>
                <c:pt idx="1">
                  <c:v>Yes, I know the status for some of my courses.</c:v>
                </c:pt>
                <c:pt idx="2">
                  <c:v>No, I do not know the status for any of my courses.</c:v>
                </c:pt>
                <c:pt idx="3">
                  <c:v>No Response</c:v>
                </c:pt>
              </c:strCache>
            </c:strRef>
          </c:cat>
          <c:val>
            <c:numRef>
              <c:f>Communication!$F$12:$F$15</c:f>
              <c:numCache>
                <c:formatCode>0%</c:formatCode>
                <c:ptCount val="4"/>
                <c:pt idx="0">
                  <c:v>0.60739979445015413</c:v>
                </c:pt>
                <c:pt idx="1">
                  <c:v>0.24922918807810895</c:v>
                </c:pt>
                <c:pt idx="2">
                  <c:v>0.1079136690647482</c:v>
                </c:pt>
                <c:pt idx="3">
                  <c:v>3.5457348406988692E-2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9-49D0-8D5F-97B65BCBB4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32951807"/>
        <c:axId val="1132947231"/>
      </c:barChart>
      <c:valAx>
        <c:axId val="113294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951807"/>
        <c:crosses val="autoZero"/>
        <c:crossBetween val="between"/>
      </c:valAx>
      <c:catAx>
        <c:axId val="1132951807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2947231"/>
        <c:crosses val="autoZero"/>
        <c:auto val="1"/>
        <c:lblAlgn val="l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40" b="0" i="0" u="none" strike="noStrike" baseline="0">
                <a:effectLst/>
              </a:rPr>
              <a:t>Figure 3. Have you been able to get timely information about the status of the school and classes?</a:t>
            </a:r>
            <a:r>
              <a:rPr lang="en-US" sz="144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Communication!$E$28</c:f>
              <c:strCache>
                <c:ptCount val="1"/>
                <c:pt idx="0">
                  <c:v>Before 5p on March 27th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D4-4F63-BC30-DD256A455C9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D4-4F63-BC30-DD256A455C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Communication!$D$29:$D$30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Communication!$E$29:$E$30</c:f>
              <c:numCache>
                <c:formatCode>0%</c:formatCode>
                <c:ptCount val="2"/>
                <c:pt idx="0">
                  <c:v>0.24730290456431536</c:v>
                </c:pt>
                <c:pt idx="1">
                  <c:v>0.72116182572614107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D4-4F63-BC30-DD256A455C93}"/>
            </c:ext>
          </c:extLst>
        </c:ser>
        <c:ser>
          <c:idx val="1"/>
          <c:order val="1"/>
          <c:tx>
            <c:strRef>
              <c:f>Communication!$F$28</c:f>
              <c:strCache>
                <c:ptCount val="1"/>
                <c:pt idx="0">
                  <c:v>After 5p on March 27th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Communication!$D$29:$D$30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Communication!$F$29:$F$30</c:f>
              <c:numCache>
                <c:formatCode>0%</c:formatCode>
                <c:ptCount val="2"/>
                <c:pt idx="0">
                  <c:v>0.16855087358684481</c:v>
                </c:pt>
                <c:pt idx="1">
                  <c:v>0.79496402877697847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D4-4F63-BC30-DD256A455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8532063"/>
        <c:axId val="1328535391"/>
      </c:barChart>
      <c:catAx>
        <c:axId val="13285320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535391"/>
        <c:crosses val="autoZero"/>
        <c:auto val="1"/>
        <c:lblAlgn val="ctr"/>
        <c:lblOffset val="100"/>
        <c:noMultiLvlLbl val="0"/>
      </c:catAx>
      <c:valAx>
        <c:axId val="1328535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53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4. Do you have reliable internet services to complete your courses remotely?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D0-4911-B23A-1349381DC8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D0-4911-B23A-1349381DC8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D0-4911-B23A-1349381DC8F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D0-4911-B23A-1349381DC8F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D0-4911-B23A-1349381DC8F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D0-4911-B23A-1349381DC8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Connectivity!$H$4:$H$9</c:f>
              <c:strCache>
                <c:ptCount val="6"/>
                <c:pt idx="0">
                  <c:v>Do you have reliable internet services to complete your courses remotely?</c:v>
                </c:pt>
                <c:pt idx="1">
                  <c:v>Yes, I have reliable internet services</c:v>
                </c:pt>
                <c:pt idx="2">
                  <c:v>Yes, my internet services are reliable most of the time</c:v>
                </c:pt>
                <c:pt idx="3">
                  <c:v>No, I don't have reliable internet services at the moment but can obtain such services while maintaining my safety and social distancing</c:v>
                </c:pt>
                <c:pt idx="4">
                  <c:v>No, I don't have reliable internet services and cannot obtain such services</c:v>
                </c:pt>
                <c:pt idx="5">
                  <c:v>No Response</c:v>
                </c:pt>
              </c:strCache>
            </c:strRef>
          </c:cat>
          <c:val>
            <c:numRef>
              <c:f>Connectivity!$I$4:$I$9</c:f>
              <c:numCache>
                <c:formatCode>0.0%</c:formatCode>
                <c:ptCount val="6"/>
                <c:pt idx="1">
                  <c:v>0.51221834338305305</c:v>
                </c:pt>
                <c:pt idx="2">
                  <c:v>0.35480799746112346</c:v>
                </c:pt>
                <c:pt idx="3">
                  <c:v>4.0304665185655349E-2</c:v>
                </c:pt>
                <c:pt idx="4">
                  <c:v>4.8238654395430021E-2</c:v>
                </c:pt>
                <c:pt idx="5">
                  <c:v>4.443033957473818E-2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DD0-4911-B23A-1349381DC8F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69477896145334"/>
          <c:y val="0.25620042286380867"/>
          <c:w val="0.42079730842468221"/>
          <c:h val="0.72454359871682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5. How comfortable are you with accessing instruction in a virtual environment?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55-4CE6-8124-A590D129E0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55-4CE6-8124-A590D129E0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55-4CE6-8124-A590D129E0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55-4CE6-8124-A590D129E0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C55-4CE6-8124-A590D129E0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Comfortability!$L$19:$L$23</c:f>
              <c:strCache>
                <c:ptCount val="5"/>
                <c:pt idx="0">
                  <c:v>How comfortable are you with accessing instruction in a virtual environment?</c:v>
                </c:pt>
                <c:pt idx="1">
                  <c:v>Very/Moderately comfortable</c:v>
                </c:pt>
                <c:pt idx="2">
                  <c:v>Neither comfortable nor uncomfortable</c:v>
                </c:pt>
                <c:pt idx="3">
                  <c:v>Very/moderately uncomfortable</c:v>
                </c:pt>
                <c:pt idx="4">
                  <c:v>No Response</c:v>
                </c:pt>
              </c:strCache>
            </c:strRef>
          </c:cat>
          <c:val>
            <c:numRef>
              <c:f>Comfortability!$M$19:$M$23</c:f>
              <c:numCache>
                <c:formatCode>0.0%</c:formatCode>
                <c:ptCount val="5"/>
                <c:pt idx="1">
                  <c:v>0.64297048556013969</c:v>
                </c:pt>
                <c:pt idx="2">
                  <c:v>0.17169152649952396</c:v>
                </c:pt>
                <c:pt idx="3">
                  <c:v>0.15487146937480165</c:v>
                </c:pt>
                <c:pt idx="4">
                  <c:v>3.0466518565534752E-2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55-4CE6-8124-A590D129E0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6. Do you know who to contact if you experience technical issues with remote instruction?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'Technical Help'!$G$3</c:f>
              <c:strCache>
                <c:ptCount val="1"/>
                <c:pt idx="0">
                  <c:v>Before 5p on March 27th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5E-4096-888E-3902DD457CA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5E-4096-888E-3902DD457CA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5E-4096-888E-3902DD457C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'Technical Help'!$F$4:$F$6</c:f>
              <c:strCache>
                <c:ptCount val="3"/>
                <c:pt idx="0">
                  <c:v>No</c:v>
                </c:pt>
                <c:pt idx="1">
                  <c:v>Yes</c:v>
                </c:pt>
                <c:pt idx="2">
                  <c:v>No Response</c:v>
                </c:pt>
              </c:strCache>
            </c:strRef>
          </c:cat>
          <c:val>
            <c:numRef>
              <c:f>'Technical Help'!$G$4:$G$6</c:f>
              <c:numCache>
                <c:formatCode>0.0%</c:formatCode>
                <c:ptCount val="3"/>
                <c:pt idx="0">
                  <c:v>0.69460580912863068</c:v>
                </c:pt>
                <c:pt idx="1">
                  <c:v>0.2721991701244813</c:v>
                </c:pt>
                <c:pt idx="2">
                  <c:v>3.3195020746887967E-2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5E-4096-888E-3902DD457CA6}"/>
            </c:ext>
          </c:extLst>
        </c:ser>
        <c:ser>
          <c:idx val="1"/>
          <c:order val="1"/>
          <c:tx>
            <c:strRef>
              <c:f>'Technical Help'!$H$3</c:f>
              <c:strCache>
                <c:ptCount val="1"/>
                <c:pt idx="0">
                  <c:v>After 5p on March 27th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'Technical Help'!$F$4:$F$6</c:f>
              <c:strCache>
                <c:ptCount val="3"/>
                <c:pt idx="0">
                  <c:v>No</c:v>
                </c:pt>
                <c:pt idx="1">
                  <c:v>Yes</c:v>
                </c:pt>
                <c:pt idx="2">
                  <c:v>No Response</c:v>
                </c:pt>
              </c:strCache>
            </c:strRef>
          </c:cat>
          <c:val>
            <c:numRef>
              <c:f>'Technical Help'!$H$4:$H$6</c:f>
              <c:numCache>
                <c:formatCode>0.0%</c:formatCode>
                <c:ptCount val="3"/>
                <c:pt idx="0">
                  <c:v>0.6269270298047277</c:v>
                </c:pt>
                <c:pt idx="1">
                  <c:v>0.33504624871531347</c:v>
                </c:pt>
                <c:pt idx="2">
                  <c:v>3.8026721479958892E-2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5E-4096-888E-3902DD457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25095999"/>
        <c:axId val="1425093087"/>
      </c:barChart>
      <c:catAx>
        <c:axId val="14250959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5093087"/>
        <c:crosses val="autoZero"/>
        <c:auto val="1"/>
        <c:lblAlgn val="ctr"/>
        <c:lblOffset val="100"/>
        <c:noMultiLvlLbl val="0"/>
      </c:catAx>
      <c:valAx>
        <c:axId val="1425093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5095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C9DF-FD14-8A41-B678-14B05F1B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Doan</dc:creator>
  <cp:keywords/>
  <dc:description/>
  <cp:lastModifiedBy>Microsoft Office User</cp:lastModifiedBy>
  <cp:revision>2</cp:revision>
  <cp:lastPrinted>2020-03-31T21:24:00Z</cp:lastPrinted>
  <dcterms:created xsi:type="dcterms:W3CDTF">2020-04-22T00:00:00Z</dcterms:created>
  <dcterms:modified xsi:type="dcterms:W3CDTF">2020-04-22T00:00:00Z</dcterms:modified>
</cp:coreProperties>
</file>