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53" w:rsidRPr="00D24953" w:rsidRDefault="59CD8032" w:rsidP="59CD8032">
      <w:pPr>
        <w:shd w:val="clear" w:color="auto" w:fill="FFFFFF" w:themeFill="background1"/>
        <w:spacing w:beforeAutospacing="1" w:after="0" w:afterAutospacing="1" w:line="240" w:lineRule="auto"/>
        <w:jc w:val="center"/>
        <w:rPr>
          <w:rFonts w:ascii="Helvetica" w:eastAsia="Times New Roman" w:hAnsi="Helvetica" w:cs="Helvetica"/>
          <w:b/>
          <w:bCs/>
          <w:sz w:val="24"/>
          <w:szCs w:val="24"/>
        </w:rPr>
      </w:pPr>
      <w:r w:rsidRPr="59CD8032">
        <w:rPr>
          <w:rFonts w:ascii="Helvetica" w:eastAsia="Times New Roman" w:hAnsi="Helvetica" w:cs="Helvetica"/>
          <w:b/>
          <w:bCs/>
          <w:sz w:val="24"/>
          <w:szCs w:val="24"/>
        </w:rPr>
        <w:t xml:space="preserve">Berkeley City College </w:t>
      </w:r>
    </w:p>
    <w:p w:rsidR="79FC1382" w:rsidRDefault="59CD8032" w:rsidP="003C424D">
      <w:pPr>
        <w:shd w:val="clear" w:color="auto" w:fill="FFFFFF" w:themeFill="background1"/>
        <w:spacing w:beforeAutospacing="1" w:after="0" w:afterAutospacing="1" w:line="240" w:lineRule="auto"/>
        <w:jc w:val="center"/>
        <w:rPr>
          <w:rFonts w:ascii="Helvetica" w:eastAsia="Times New Roman" w:hAnsi="Helvetica" w:cs="Helvetica"/>
          <w:b/>
          <w:bCs/>
          <w:sz w:val="24"/>
          <w:szCs w:val="24"/>
        </w:rPr>
      </w:pPr>
      <w:r w:rsidRPr="59CD8032">
        <w:rPr>
          <w:rFonts w:ascii="Helvetica" w:eastAsia="Times New Roman" w:hAnsi="Helvetica" w:cs="Helvetica"/>
          <w:b/>
          <w:bCs/>
          <w:sz w:val="24"/>
          <w:szCs w:val="24"/>
        </w:rPr>
        <w:t>2019-2022 Student Equity Executive Summary and Plan</w:t>
      </w:r>
    </w:p>
    <w:p w:rsidR="00D24953" w:rsidRPr="00F44978" w:rsidRDefault="00D24953" w:rsidP="00D24953">
      <w:pPr>
        <w:shd w:val="clear" w:color="auto" w:fill="FFFFFF"/>
        <w:spacing w:before="100" w:beforeAutospacing="1" w:after="100" w:afterAutospacing="1" w:line="240" w:lineRule="auto"/>
        <w:rPr>
          <w:rFonts w:ascii="Helvetica" w:eastAsia="Times New Roman" w:hAnsi="Helvetica" w:cs="Helvetica"/>
          <w:b/>
          <w:sz w:val="24"/>
          <w:szCs w:val="24"/>
        </w:rPr>
      </w:pPr>
      <w:r w:rsidRPr="00F44978">
        <w:rPr>
          <w:rFonts w:ascii="Helvetica" w:eastAsia="Times New Roman" w:hAnsi="Helvetica" w:cs="Helvetica"/>
          <w:b/>
          <w:sz w:val="24"/>
          <w:szCs w:val="24"/>
        </w:rPr>
        <w:t>Introduction</w:t>
      </w:r>
    </w:p>
    <w:p w:rsidR="59CD8032" w:rsidRDefault="59CD8032" w:rsidP="003C424D">
      <w:pPr>
        <w:shd w:val="clear" w:color="auto" w:fill="FFFFFF" w:themeFill="background1"/>
        <w:spacing w:before="100" w:beforeAutospacing="1" w:after="100" w:afterAutospacing="1" w:line="240" w:lineRule="auto"/>
        <w:rPr>
          <w:rFonts w:ascii="Helvetica" w:hAnsi="Helvetica" w:cs="Helvetica"/>
          <w:sz w:val="24"/>
          <w:szCs w:val="24"/>
        </w:rPr>
      </w:pPr>
      <w:r w:rsidRPr="59CD8032">
        <w:rPr>
          <w:rFonts w:ascii="Helvetica" w:hAnsi="Helvetica" w:cs="Helvetica"/>
          <w:sz w:val="24"/>
          <w:szCs w:val="24"/>
        </w:rPr>
        <w:t>Berkeley City College, one of California’s 115 community colleges, is located at 2050 Center St. between Shattuck Ave. &amp; Milvia St. in downtown Berkeley, one of the world’s great education centers, only one-and-one-half blocks from the University of California at Berkeley. The college is part of the Peralta Community College District which includes the College of Alameda, Laney and Merritt colleges. The college serves students in Albany, Berkeley, Emeryville, Piedmont and Oakland. The college also draws students from the rest of the San Francisco Bay area due to its reputation for a high transfer rate to UC Berkeley.</w:t>
      </w:r>
    </w:p>
    <w:p w:rsidR="002A37E2" w:rsidRDefault="59CD8032" w:rsidP="59CD8032">
      <w:pPr>
        <w:shd w:val="clear" w:color="auto" w:fill="FFFFFF" w:themeFill="background1"/>
        <w:spacing w:before="100" w:beforeAutospacing="1" w:after="100" w:afterAutospacing="1" w:line="240" w:lineRule="auto"/>
        <w:rPr>
          <w:rFonts w:ascii="Helvetica" w:hAnsi="Helvetica" w:cs="Helvetica"/>
          <w:sz w:val="24"/>
          <w:szCs w:val="24"/>
        </w:rPr>
      </w:pPr>
      <w:r w:rsidRPr="59CD8032">
        <w:rPr>
          <w:rFonts w:ascii="Helvetica" w:hAnsi="Helvetica" w:cs="Helvetica"/>
          <w:sz w:val="24"/>
          <w:szCs w:val="24"/>
        </w:rPr>
        <w:t xml:space="preserve">Berkeley City College students form part of a thriving college community which mirrors the Bay Area’s ethnic, cultural and socioeconomic diversity. They include single parents, full-time workers, re-entry women, career changers and high school students. Working together with Berkeley City College faculty, students create a dynamic environment where interdisciplinary education and teamwork prepare them for many career options. </w:t>
      </w:r>
    </w:p>
    <w:p w:rsidR="59CD8032" w:rsidRDefault="59CD8032" w:rsidP="003C424D">
      <w:pPr>
        <w:shd w:val="clear" w:color="auto" w:fill="FFFFFF" w:themeFill="background1"/>
        <w:spacing w:before="100" w:beforeAutospacing="1" w:after="100" w:afterAutospacing="1" w:line="240" w:lineRule="auto"/>
        <w:rPr>
          <w:rFonts w:ascii="Helvetica" w:hAnsi="Helvetica" w:cs="Helvetica"/>
          <w:sz w:val="24"/>
          <w:szCs w:val="24"/>
        </w:rPr>
      </w:pPr>
      <w:r w:rsidRPr="59CD8032">
        <w:rPr>
          <w:rFonts w:ascii="Helvetica" w:hAnsi="Helvetica" w:cs="Helvetica"/>
          <w:sz w:val="24"/>
          <w:szCs w:val="24"/>
        </w:rPr>
        <w:t>In the 2017-18 academic year 15% of the students were African American, .23% American Indian/Alaskan Native, 22% Asian, 2% Filipino, 24% Latinx, 7% are Multi-ethnic and .31% are Pacific Islander, 4% Unknown and 24% were White. 54% were female, 43% were male and 3 % were unknown.  35% of the students are 20-24 years of age, 27% are 19 and younger, 16% are 25-29, 8$ are 30-34, 5% are 50 and over, 4% are 35-39 and 4% are 40-49 years of age. The student population overall is well balanced with no one age or ethnic group in a solid majority. In 2018 Berkeley City College participated in the #RealCollege campus survey conducted by the Hope Center for College, Community and Justice at Temple University. The Berkeley City College report released in April 2019 shows 46% of the respondents struggled with food insecurity, 67% indicated housing insecurity in the previous year and 19% were homeless in the previous year. In addition, 43% of BCC students receive financial aid, the high cost of living in the Bay area presents considerable socioeconomic challenges to accessing higher education.</w:t>
      </w:r>
    </w:p>
    <w:p w:rsidR="00CF3853" w:rsidRDefault="59CD8032" w:rsidP="59CD8032">
      <w:pPr>
        <w:shd w:val="clear" w:color="auto" w:fill="FFFFFF" w:themeFill="background1"/>
        <w:spacing w:before="100" w:beforeAutospacing="1" w:after="100" w:afterAutospacing="1" w:line="240" w:lineRule="auto"/>
        <w:rPr>
          <w:rFonts w:ascii="Helvetica" w:hAnsi="Helvetica" w:cs="Helvetica"/>
          <w:sz w:val="24"/>
          <w:szCs w:val="24"/>
        </w:rPr>
      </w:pPr>
      <w:r w:rsidRPr="59CD8032">
        <w:rPr>
          <w:rFonts w:ascii="Helvetica" w:hAnsi="Helvetica" w:cs="Helvetica"/>
          <w:sz w:val="24"/>
          <w:szCs w:val="24"/>
        </w:rPr>
        <w:t xml:space="preserve">The college mission is to promote student success, provide educational opportunities to the diverse community and to transform lives. The mission is achieved through instruction, student support and learning resources which enable its students to earn associate degrees and certificates, and to attain college competency, careers, transfer and skills for lifelong success. In addition, BCC’s vision is to be a leader in equitable academic excellence, collaboration, innovation and transformation as a premier, diverse, student-centered learning community. </w:t>
      </w:r>
    </w:p>
    <w:p w:rsidR="59CD8032" w:rsidRDefault="59CD8032" w:rsidP="59CD8032">
      <w:pPr>
        <w:shd w:val="clear" w:color="auto" w:fill="FFFFFF" w:themeFill="background1"/>
        <w:spacing w:beforeAutospacing="1" w:afterAutospacing="1" w:line="240" w:lineRule="auto"/>
        <w:rPr>
          <w:rFonts w:ascii="Helvetica" w:hAnsi="Helvetica" w:cs="Helvetica"/>
          <w:sz w:val="24"/>
          <w:szCs w:val="24"/>
        </w:rPr>
      </w:pPr>
    </w:p>
    <w:p w:rsidR="00CF3853" w:rsidRDefault="73A68994" w:rsidP="73A68994">
      <w:pPr>
        <w:shd w:val="clear" w:color="auto" w:fill="FFFFFF" w:themeFill="background1"/>
        <w:spacing w:before="100" w:beforeAutospacing="1" w:after="100" w:afterAutospacing="1" w:line="240" w:lineRule="auto"/>
        <w:rPr>
          <w:rFonts w:ascii="Helvetica" w:hAnsi="Helvetica" w:cs="Helvetica"/>
          <w:sz w:val="24"/>
          <w:szCs w:val="24"/>
        </w:rPr>
      </w:pPr>
      <w:r w:rsidRPr="73A68994">
        <w:rPr>
          <w:rFonts w:ascii="Helvetica" w:hAnsi="Helvetica" w:cs="Helvetica"/>
          <w:sz w:val="24"/>
          <w:szCs w:val="24"/>
        </w:rPr>
        <w:lastRenderedPageBreak/>
        <w:t xml:space="preserve">The college embraces a vision and values that allow all members of the college community to grow and thrive, founded on the premise that all are welcome to learn. The foundation of success at Berkeley City College originates in mutual respect, diversity, love of knowledge, education and collaboration as well as a commitment to civic engagement, social justice and lifelong learning for everyone. </w:t>
      </w:r>
    </w:p>
    <w:p w:rsidR="00DF514E" w:rsidRPr="003C424D" w:rsidRDefault="59CD8032" w:rsidP="003C424D">
      <w:pPr>
        <w:shd w:val="clear" w:color="auto" w:fill="FFFFFF" w:themeFill="background1"/>
        <w:spacing w:before="100" w:beforeAutospacing="1" w:after="100" w:afterAutospacing="1" w:line="240" w:lineRule="auto"/>
        <w:rPr>
          <w:rFonts w:ascii="Helvetica" w:hAnsi="Helvetica" w:cs="Helvetica"/>
          <w:b/>
          <w:bCs/>
          <w:sz w:val="24"/>
          <w:szCs w:val="24"/>
        </w:rPr>
      </w:pPr>
      <w:r w:rsidRPr="59CD8032">
        <w:rPr>
          <w:rFonts w:ascii="Helvetica" w:hAnsi="Helvetica" w:cs="Helvetica"/>
          <w:sz w:val="24"/>
          <w:szCs w:val="24"/>
        </w:rPr>
        <w:t>Faculty, staff and administrators are deeply cognizant of the numerous student needs and are dedicated to reducing the equity gap.</w:t>
      </w:r>
      <w:r w:rsidR="003C424D">
        <w:rPr>
          <w:rFonts w:ascii="Helvetica" w:hAnsi="Helvetica" w:cs="Helvetica"/>
          <w:b/>
          <w:bCs/>
          <w:sz w:val="24"/>
          <w:szCs w:val="24"/>
        </w:rPr>
        <w:t xml:space="preserve"> </w:t>
      </w:r>
      <w:r w:rsidRPr="59CD8032">
        <w:rPr>
          <w:rFonts w:ascii="Helvetica" w:eastAsia="Helvetica" w:hAnsi="Helvetica" w:cs="Helvetica"/>
          <w:sz w:val="24"/>
          <w:szCs w:val="24"/>
        </w:rPr>
        <w:t xml:space="preserve">BCC recognizes that the equity gap is deeply influenced by higher education practices, many of which have remained unchanged, at the core, over the past half-century. No significant progress can be made in eliminating the equity gap until the college takes ownership of the issue and adopts institutional and pedagogical procedures and processes specifically designed to achieve equitable outcomes across all student populations. Berkeley City College’s Education Master Plan (EMP) for 2016-2021 is geared toward achieving equity and eliminating the education gap in student access (participation), learning, completion, and success with exemplary programs and to provide a way to ensure the college’s energies are directed toward the success of all students. </w:t>
      </w:r>
    </w:p>
    <w:p w:rsidR="00DF514E" w:rsidRDefault="59CD8032" w:rsidP="59CD8032">
      <w:pPr>
        <w:shd w:val="clear" w:color="auto" w:fill="FFFFFF" w:themeFill="background1"/>
        <w:spacing w:before="100" w:beforeAutospacing="1" w:after="100" w:afterAutospacing="1" w:line="240" w:lineRule="auto"/>
        <w:rPr>
          <w:rFonts w:ascii="Helvetica" w:hAnsi="Helvetica" w:cs="Helvetica"/>
          <w:b/>
          <w:bCs/>
          <w:sz w:val="24"/>
          <w:szCs w:val="24"/>
        </w:rPr>
      </w:pPr>
      <w:r w:rsidRPr="59CD8032">
        <w:rPr>
          <w:rFonts w:ascii="Helvetica" w:hAnsi="Helvetica" w:cs="Helvetica"/>
          <w:b/>
          <w:bCs/>
          <w:sz w:val="24"/>
          <w:szCs w:val="24"/>
          <w:highlight w:val="yellow"/>
        </w:rPr>
        <w:t>Insert Equity Framework from Governance Retreat Here</w:t>
      </w:r>
    </w:p>
    <w:p w:rsidR="00F44978" w:rsidRPr="00F44978" w:rsidRDefault="00F44978" w:rsidP="79FC1382">
      <w:pPr>
        <w:spacing w:before="100" w:beforeAutospacing="1" w:after="100" w:afterAutospacing="1" w:line="240" w:lineRule="auto"/>
        <w:rPr>
          <w:rFonts w:ascii="Helvetica" w:hAnsi="Helvetica" w:cs="Helvetica"/>
          <w:b/>
          <w:bCs/>
          <w:sz w:val="24"/>
          <w:szCs w:val="24"/>
        </w:rPr>
      </w:pPr>
    </w:p>
    <w:p w:rsidR="00F44978" w:rsidRPr="00F44978" w:rsidRDefault="79FC1382" w:rsidP="79FC1382">
      <w:pPr>
        <w:spacing w:before="100" w:beforeAutospacing="1" w:after="100" w:afterAutospacing="1" w:line="240" w:lineRule="auto"/>
        <w:rPr>
          <w:rFonts w:ascii="Helvetica" w:hAnsi="Helvetica" w:cs="Helvetica"/>
          <w:b/>
          <w:bCs/>
          <w:sz w:val="24"/>
          <w:szCs w:val="24"/>
        </w:rPr>
      </w:pPr>
      <w:r w:rsidRPr="79FC1382">
        <w:rPr>
          <w:rFonts w:ascii="Helvetica" w:hAnsi="Helvetica" w:cs="Helvetica"/>
          <w:b/>
          <w:bCs/>
          <w:sz w:val="24"/>
          <w:szCs w:val="24"/>
        </w:rPr>
        <w:t>Student Equity Plan Goals and Activities 2019-2022</w:t>
      </w:r>
    </w:p>
    <w:p w:rsidR="00F44978" w:rsidRPr="00F44978" w:rsidRDefault="79FC1382" w:rsidP="79FC1382">
      <w:pPr>
        <w:spacing w:before="100" w:beforeAutospacing="1" w:after="100" w:afterAutospacing="1" w:line="240" w:lineRule="auto"/>
        <w:rPr>
          <w:rFonts w:ascii="Helvetica" w:hAnsi="Helvetica" w:cs="Helvetica"/>
          <w:b/>
          <w:bCs/>
          <w:sz w:val="24"/>
          <w:szCs w:val="24"/>
        </w:rPr>
      </w:pPr>
      <w:r w:rsidRPr="79FC1382">
        <w:rPr>
          <w:rFonts w:ascii="Helvetica" w:hAnsi="Helvetica" w:cs="Helvetica"/>
          <w:b/>
          <w:bCs/>
          <w:sz w:val="24"/>
          <w:szCs w:val="24"/>
        </w:rPr>
        <w:t>Methodology</w:t>
      </w:r>
    </w:p>
    <w:p w:rsidR="00F44978" w:rsidRPr="00F44978" w:rsidRDefault="79FC1382" w:rsidP="79FC1382">
      <w:pPr>
        <w:spacing w:before="100" w:beforeAutospacing="1" w:after="100" w:afterAutospacing="1" w:line="240" w:lineRule="auto"/>
        <w:rPr>
          <w:rFonts w:ascii="Helvetica" w:hAnsi="Helvetica" w:cs="Helvetica"/>
          <w:sz w:val="24"/>
          <w:szCs w:val="24"/>
        </w:rPr>
      </w:pPr>
      <w:r w:rsidRPr="79FC1382">
        <w:rPr>
          <w:rFonts w:ascii="Helvetica" w:hAnsi="Helvetica" w:cs="Helvetica"/>
          <w:sz w:val="24"/>
          <w:szCs w:val="24"/>
        </w:rPr>
        <w:t xml:space="preserve">To calculate disproportionate impact for multiple student groups, this summary uses the percentage point gap (PPG) method specified by the California Community Colleges Chancellor’s Office. PPG compares the outcome rate of the group to the outcome rate of the overall group to which it is being compared, with the gap being the difference between the two. The margin of error used to determine disproportionate impact was provided by the state chancellor’s office and was calculated for each group based on a Z score for a 95% confidence interval. </w:t>
      </w:r>
    </w:p>
    <w:p w:rsidR="00F44978" w:rsidRPr="003C424D" w:rsidRDefault="79FC1382" w:rsidP="003C424D">
      <w:pPr>
        <w:spacing w:before="100" w:beforeAutospacing="1" w:after="100" w:afterAutospacing="1" w:line="240" w:lineRule="auto"/>
      </w:pPr>
      <w:r w:rsidRPr="79FC1382">
        <w:rPr>
          <w:rFonts w:ascii="Helvetica" w:eastAsia="Times New Roman" w:hAnsi="Helvetica" w:cs="Helvetica"/>
          <w:b/>
          <w:bCs/>
          <w:sz w:val="24"/>
          <w:szCs w:val="24"/>
        </w:rPr>
        <w:t>Access-Enrollment</w:t>
      </w:r>
      <w:r w:rsidR="003C424D">
        <w:t xml:space="preserve"> </w:t>
      </w:r>
      <w:r w:rsidRPr="79FC1382">
        <w:rPr>
          <w:rFonts w:ascii="Helvetica" w:eastAsia="Times New Roman" w:hAnsi="Helvetica" w:cs="Helvetica"/>
          <w:sz w:val="24"/>
          <w:szCs w:val="24"/>
        </w:rPr>
        <w:t>The baseline for the 2017-2018 academic year, or the number of students who applied and then enrolled in Berkeley City College, was 62% for the overall student population.  The college has set a goal of 62%, based on the historical enrollment trends over the past three years. Certain groups have experienced disproportionate impact so the goals for these groups are:</w:t>
      </w:r>
    </w:p>
    <w:p w:rsidR="00F44978" w:rsidRPr="00F44978" w:rsidRDefault="79FC1382" w:rsidP="79FC1382">
      <w:pPr>
        <w:pStyle w:val="ListParagraph"/>
        <w:numPr>
          <w:ilvl w:val="0"/>
          <w:numId w:val="12"/>
        </w:numPr>
        <w:shd w:val="clear" w:color="auto" w:fill="FFFFFF" w:themeFill="background1"/>
        <w:spacing w:before="100" w:beforeAutospacing="1" w:after="100" w:afterAutospacing="1" w:line="240" w:lineRule="auto"/>
        <w:rPr>
          <w:sz w:val="24"/>
          <w:szCs w:val="24"/>
        </w:rPr>
      </w:pPr>
      <w:r w:rsidRPr="79FC1382">
        <w:rPr>
          <w:rFonts w:ascii="Helvetica" w:eastAsia="Times New Roman" w:hAnsi="Helvetica" w:cs="Helvetica"/>
          <w:b/>
          <w:bCs/>
          <w:sz w:val="24"/>
          <w:szCs w:val="24"/>
        </w:rPr>
        <w:t>Black or African American Female</w:t>
      </w:r>
      <w:r w:rsidRPr="79FC1382">
        <w:rPr>
          <w:rFonts w:ascii="Helvetica" w:eastAsia="Times New Roman" w:hAnsi="Helvetica" w:cs="Helvetica"/>
          <w:sz w:val="24"/>
          <w:szCs w:val="24"/>
        </w:rPr>
        <w:t>: increase from 661 to 681, 3%.</w:t>
      </w:r>
    </w:p>
    <w:p w:rsidR="00F44978" w:rsidRPr="00F44978" w:rsidRDefault="79FC1382" w:rsidP="79FC1382">
      <w:pPr>
        <w:pStyle w:val="ListParagraph"/>
        <w:numPr>
          <w:ilvl w:val="0"/>
          <w:numId w:val="12"/>
        </w:numPr>
        <w:shd w:val="clear" w:color="auto" w:fill="FFFFFF" w:themeFill="background1"/>
        <w:spacing w:before="100" w:beforeAutospacing="1" w:after="100" w:afterAutospacing="1" w:line="240" w:lineRule="auto"/>
        <w:rPr>
          <w:sz w:val="24"/>
          <w:szCs w:val="24"/>
        </w:rPr>
      </w:pPr>
      <w:r w:rsidRPr="79FC1382">
        <w:rPr>
          <w:rFonts w:ascii="Helvetica" w:eastAsia="Times New Roman" w:hAnsi="Helvetica" w:cs="Helvetica"/>
          <w:b/>
          <w:bCs/>
          <w:sz w:val="24"/>
          <w:szCs w:val="24"/>
        </w:rPr>
        <w:t>American Indian/Alaskan Native, Female</w:t>
      </w:r>
      <w:r w:rsidRPr="79FC1382">
        <w:rPr>
          <w:rFonts w:ascii="Helvetica" w:eastAsia="Times New Roman" w:hAnsi="Helvetica" w:cs="Helvetica"/>
          <w:sz w:val="24"/>
          <w:szCs w:val="24"/>
        </w:rPr>
        <w:t>: increase from 18 to 25, 39%</w:t>
      </w:r>
    </w:p>
    <w:p w:rsidR="00F44978" w:rsidRPr="00F44978" w:rsidRDefault="79FC1382" w:rsidP="79FC1382">
      <w:pPr>
        <w:pStyle w:val="ListParagraph"/>
        <w:numPr>
          <w:ilvl w:val="0"/>
          <w:numId w:val="12"/>
        </w:numPr>
        <w:shd w:val="clear" w:color="auto" w:fill="FFFFFF" w:themeFill="background1"/>
        <w:spacing w:before="100" w:beforeAutospacing="1" w:after="100" w:afterAutospacing="1" w:line="240" w:lineRule="auto"/>
        <w:rPr>
          <w:sz w:val="24"/>
          <w:szCs w:val="24"/>
        </w:rPr>
      </w:pPr>
      <w:r w:rsidRPr="79FC1382">
        <w:rPr>
          <w:rFonts w:ascii="Helvetica" w:eastAsia="Times New Roman" w:hAnsi="Helvetica" w:cs="Helvetica"/>
          <w:b/>
          <w:bCs/>
          <w:sz w:val="24"/>
          <w:szCs w:val="24"/>
        </w:rPr>
        <w:t>Asian, Male</w:t>
      </w:r>
      <w:r w:rsidRPr="79FC1382">
        <w:rPr>
          <w:rFonts w:ascii="Helvetica" w:eastAsia="Times New Roman" w:hAnsi="Helvetica" w:cs="Helvetica"/>
          <w:sz w:val="24"/>
          <w:szCs w:val="24"/>
        </w:rPr>
        <w:t>: increase from 768 to 889, 16%</w:t>
      </w:r>
    </w:p>
    <w:p w:rsidR="00F44978" w:rsidRPr="00F44978" w:rsidRDefault="79FC1382" w:rsidP="79FC1382">
      <w:pPr>
        <w:pStyle w:val="ListParagraph"/>
        <w:numPr>
          <w:ilvl w:val="0"/>
          <w:numId w:val="12"/>
        </w:numPr>
        <w:shd w:val="clear" w:color="auto" w:fill="FFFFFF" w:themeFill="background1"/>
        <w:spacing w:before="100" w:beforeAutospacing="1" w:after="100" w:afterAutospacing="1" w:line="240" w:lineRule="auto"/>
        <w:rPr>
          <w:sz w:val="24"/>
          <w:szCs w:val="24"/>
        </w:rPr>
      </w:pPr>
      <w:r w:rsidRPr="79FC1382">
        <w:rPr>
          <w:rFonts w:ascii="Helvetica" w:eastAsia="Times New Roman" w:hAnsi="Helvetica" w:cs="Helvetica"/>
          <w:b/>
          <w:bCs/>
          <w:sz w:val="24"/>
          <w:szCs w:val="24"/>
        </w:rPr>
        <w:t>Foster Youth, Female</w:t>
      </w:r>
      <w:r w:rsidRPr="79FC1382">
        <w:rPr>
          <w:rFonts w:ascii="Helvetica" w:eastAsia="Times New Roman" w:hAnsi="Helvetica" w:cs="Helvetica"/>
          <w:sz w:val="24"/>
          <w:szCs w:val="24"/>
        </w:rPr>
        <w:t>: increase from 66 to 78, 18%</w:t>
      </w:r>
    </w:p>
    <w:p w:rsidR="00F44978" w:rsidRPr="003C424D" w:rsidRDefault="59CD8032" w:rsidP="79FC1382">
      <w:pPr>
        <w:pStyle w:val="ListParagraph"/>
        <w:numPr>
          <w:ilvl w:val="0"/>
          <w:numId w:val="12"/>
        </w:numPr>
        <w:shd w:val="clear" w:color="auto" w:fill="FFFFFF" w:themeFill="background1"/>
        <w:spacing w:before="100" w:beforeAutospacing="1" w:after="100" w:afterAutospacing="1" w:line="240" w:lineRule="auto"/>
        <w:rPr>
          <w:sz w:val="24"/>
          <w:szCs w:val="24"/>
        </w:rPr>
      </w:pPr>
      <w:r w:rsidRPr="59CD8032">
        <w:rPr>
          <w:rFonts w:ascii="Helvetica" w:eastAsia="Times New Roman" w:hAnsi="Helvetica" w:cs="Helvetica"/>
          <w:b/>
          <w:bCs/>
          <w:sz w:val="24"/>
          <w:szCs w:val="24"/>
        </w:rPr>
        <w:t>Native Hawaiian or Other Pacific Islander, Male</w:t>
      </w:r>
      <w:r w:rsidRPr="59CD8032">
        <w:rPr>
          <w:rFonts w:ascii="Helvetica" w:eastAsia="Times New Roman" w:hAnsi="Helvetica" w:cs="Helvetica"/>
          <w:sz w:val="24"/>
          <w:szCs w:val="24"/>
        </w:rPr>
        <w:t>: increase from 6 to 11, 54%</w:t>
      </w:r>
    </w:p>
    <w:p w:rsidR="00F44978" w:rsidRPr="003C424D" w:rsidRDefault="79FC1382" w:rsidP="79FC1382">
      <w:pPr>
        <w:shd w:val="clear" w:color="auto" w:fill="FFFFFF" w:themeFill="background1"/>
        <w:spacing w:before="100" w:beforeAutospacing="1" w:after="100" w:afterAutospacing="1" w:line="240" w:lineRule="auto"/>
        <w:rPr>
          <w:rFonts w:ascii="Helvetica" w:eastAsia="Times New Roman" w:hAnsi="Helvetica" w:cs="Helvetica"/>
          <w:b/>
          <w:bCs/>
          <w:sz w:val="24"/>
          <w:szCs w:val="24"/>
        </w:rPr>
      </w:pPr>
      <w:r w:rsidRPr="79FC1382">
        <w:rPr>
          <w:rFonts w:ascii="Helvetica" w:eastAsia="Times New Roman" w:hAnsi="Helvetica" w:cs="Helvetica"/>
          <w:b/>
          <w:bCs/>
          <w:sz w:val="24"/>
          <w:szCs w:val="24"/>
        </w:rPr>
        <w:lastRenderedPageBreak/>
        <w:t>Retention</w:t>
      </w:r>
      <w:r w:rsidR="003C424D">
        <w:rPr>
          <w:rFonts w:ascii="Helvetica" w:eastAsia="Times New Roman" w:hAnsi="Helvetica" w:cs="Helvetica"/>
          <w:b/>
          <w:bCs/>
          <w:sz w:val="24"/>
          <w:szCs w:val="24"/>
        </w:rPr>
        <w:t xml:space="preserve"> </w:t>
      </w:r>
      <w:r w:rsidRPr="79FC1382">
        <w:rPr>
          <w:rFonts w:ascii="Helvetica" w:eastAsia="Times New Roman" w:hAnsi="Helvetica" w:cs="Helvetica"/>
          <w:sz w:val="24"/>
          <w:szCs w:val="24"/>
        </w:rPr>
        <w:t>The baseline for overall retention from fall to spring was 3269 students in the 2017-2018 academic year. The college has set a goal of 6% increase in the number of students retained from fall to spring for the next three years, or 3,468 students. Some groups have disproportionate impact, so the goals for these groups are:</w:t>
      </w:r>
    </w:p>
    <w:p w:rsidR="00F44978" w:rsidRPr="00F44978" w:rsidRDefault="79FC1382" w:rsidP="79FC1382">
      <w:pPr>
        <w:pStyle w:val="ListParagraph"/>
        <w:numPr>
          <w:ilvl w:val="0"/>
          <w:numId w:val="10"/>
        </w:numPr>
        <w:shd w:val="clear" w:color="auto" w:fill="FFFFFF" w:themeFill="background1"/>
        <w:spacing w:before="100" w:beforeAutospacing="1" w:after="100" w:afterAutospacing="1" w:line="240" w:lineRule="auto"/>
        <w:rPr>
          <w:sz w:val="24"/>
          <w:szCs w:val="24"/>
        </w:rPr>
      </w:pPr>
      <w:r w:rsidRPr="79FC1382">
        <w:rPr>
          <w:rFonts w:ascii="Helvetica" w:eastAsia="Times New Roman" w:hAnsi="Helvetica" w:cs="Helvetica"/>
          <w:b/>
          <w:bCs/>
          <w:sz w:val="24"/>
          <w:szCs w:val="24"/>
        </w:rPr>
        <w:t>Disabled, Female</w:t>
      </w:r>
      <w:r w:rsidRPr="79FC1382">
        <w:rPr>
          <w:rFonts w:ascii="Helvetica" w:eastAsia="Times New Roman" w:hAnsi="Helvetica" w:cs="Helvetica"/>
          <w:sz w:val="24"/>
          <w:szCs w:val="24"/>
        </w:rPr>
        <w:t>: increase from 134 to 153, 43%</w:t>
      </w:r>
    </w:p>
    <w:p w:rsidR="00F44978" w:rsidRPr="00F44978" w:rsidRDefault="73A68994" w:rsidP="73A68994">
      <w:pPr>
        <w:pStyle w:val="ListParagraph"/>
        <w:numPr>
          <w:ilvl w:val="0"/>
          <w:numId w:val="10"/>
        </w:numPr>
        <w:shd w:val="clear" w:color="auto" w:fill="FFFFFF" w:themeFill="background1"/>
        <w:spacing w:before="100" w:beforeAutospacing="1" w:after="100" w:afterAutospacing="1" w:line="240" w:lineRule="auto"/>
        <w:rPr>
          <w:sz w:val="24"/>
          <w:szCs w:val="24"/>
        </w:rPr>
      </w:pPr>
      <w:r w:rsidRPr="73A68994">
        <w:rPr>
          <w:rFonts w:ascii="Helvetica" w:eastAsia="Times New Roman" w:hAnsi="Helvetica" w:cs="Helvetica"/>
          <w:b/>
          <w:bCs/>
          <w:sz w:val="24"/>
          <w:szCs w:val="24"/>
        </w:rPr>
        <w:t>Economically Disadvantaged, Female</w:t>
      </w:r>
      <w:r w:rsidRPr="73A68994">
        <w:rPr>
          <w:rFonts w:ascii="Helvetica" w:eastAsia="Times New Roman" w:hAnsi="Helvetica" w:cs="Helvetica"/>
          <w:sz w:val="24"/>
          <w:szCs w:val="24"/>
        </w:rPr>
        <w:t>: increase from 1,285 to 1,318, 3%</w:t>
      </w:r>
    </w:p>
    <w:p w:rsidR="00F44978" w:rsidRPr="00F44978" w:rsidRDefault="79FC1382" w:rsidP="79FC1382">
      <w:pPr>
        <w:pStyle w:val="ListParagraph"/>
        <w:numPr>
          <w:ilvl w:val="0"/>
          <w:numId w:val="10"/>
        </w:numPr>
        <w:shd w:val="clear" w:color="auto" w:fill="FFFFFF" w:themeFill="background1"/>
        <w:spacing w:before="100" w:beforeAutospacing="1" w:after="100" w:afterAutospacing="1" w:line="240" w:lineRule="auto"/>
        <w:rPr>
          <w:sz w:val="24"/>
          <w:szCs w:val="24"/>
        </w:rPr>
      </w:pPr>
      <w:r w:rsidRPr="79FC1382">
        <w:rPr>
          <w:rFonts w:ascii="Helvetica" w:eastAsia="Times New Roman" w:hAnsi="Helvetica" w:cs="Helvetica"/>
          <w:b/>
          <w:bCs/>
          <w:sz w:val="24"/>
          <w:szCs w:val="24"/>
        </w:rPr>
        <w:t>White, Female</w:t>
      </w:r>
      <w:r w:rsidRPr="79FC1382">
        <w:rPr>
          <w:rFonts w:ascii="Helvetica" w:eastAsia="Times New Roman" w:hAnsi="Helvetica" w:cs="Helvetica"/>
          <w:sz w:val="24"/>
          <w:szCs w:val="24"/>
        </w:rPr>
        <w:t>: increase from 392 to 409, 4%</w:t>
      </w:r>
    </w:p>
    <w:p w:rsidR="00F44978" w:rsidRPr="00F44978" w:rsidRDefault="79FC1382" w:rsidP="79FC1382">
      <w:pPr>
        <w:pStyle w:val="ListParagraph"/>
        <w:numPr>
          <w:ilvl w:val="0"/>
          <w:numId w:val="10"/>
        </w:numPr>
        <w:shd w:val="clear" w:color="auto" w:fill="FFFFFF" w:themeFill="background1"/>
        <w:spacing w:before="100" w:beforeAutospacing="1" w:after="100" w:afterAutospacing="1" w:line="240" w:lineRule="auto"/>
        <w:rPr>
          <w:sz w:val="24"/>
          <w:szCs w:val="24"/>
        </w:rPr>
      </w:pPr>
      <w:r w:rsidRPr="79FC1382">
        <w:rPr>
          <w:rFonts w:ascii="Helvetica" w:eastAsia="Times New Roman" w:hAnsi="Helvetica" w:cs="Helvetica"/>
          <w:b/>
          <w:bCs/>
          <w:sz w:val="24"/>
          <w:szCs w:val="24"/>
        </w:rPr>
        <w:t>Black or African American, Female</w:t>
      </w:r>
      <w:r w:rsidRPr="79FC1382">
        <w:rPr>
          <w:rFonts w:ascii="Helvetica" w:eastAsia="Times New Roman" w:hAnsi="Helvetica" w:cs="Helvetica"/>
          <w:sz w:val="24"/>
          <w:szCs w:val="24"/>
        </w:rPr>
        <w:t>: increase from 230 to 276, 20%</w:t>
      </w:r>
    </w:p>
    <w:p w:rsidR="00F44978" w:rsidRPr="003C424D" w:rsidRDefault="79FC1382" w:rsidP="79FC1382">
      <w:pPr>
        <w:pStyle w:val="ListParagraph"/>
        <w:numPr>
          <w:ilvl w:val="0"/>
          <w:numId w:val="10"/>
        </w:numPr>
        <w:shd w:val="clear" w:color="auto" w:fill="FFFFFF" w:themeFill="background1"/>
        <w:spacing w:before="100" w:beforeAutospacing="1" w:after="100" w:afterAutospacing="1" w:line="240" w:lineRule="auto"/>
        <w:rPr>
          <w:sz w:val="24"/>
          <w:szCs w:val="24"/>
        </w:rPr>
      </w:pPr>
      <w:r w:rsidRPr="79FC1382">
        <w:rPr>
          <w:rFonts w:ascii="Helvetica" w:eastAsia="Times New Roman" w:hAnsi="Helvetica" w:cs="Helvetica"/>
          <w:b/>
          <w:bCs/>
          <w:sz w:val="24"/>
          <w:szCs w:val="24"/>
        </w:rPr>
        <w:t>Some other race, Female</w:t>
      </w:r>
      <w:r w:rsidRPr="79FC1382">
        <w:rPr>
          <w:rFonts w:ascii="Helvetica" w:eastAsia="Times New Roman" w:hAnsi="Helvetica" w:cs="Helvetica"/>
          <w:sz w:val="24"/>
          <w:szCs w:val="24"/>
        </w:rPr>
        <w:t>: increase from 65 to 78, 20%</w:t>
      </w:r>
    </w:p>
    <w:p w:rsidR="00F44978" w:rsidRPr="003C424D" w:rsidRDefault="79FC1382" w:rsidP="79FC1382">
      <w:pPr>
        <w:shd w:val="clear" w:color="auto" w:fill="FFFFFF" w:themeFill="background1"/>
        <w:spacing w:before="100" w:beforeAutospacing="1" w:after="100" w:afterAutospacing="1" w:line="240" w:lineRule="auto"/>
        <w:rPr>
          <w:rFonts w:ascii="Helvetica" w:eastAsia="Times New Roman" w:hAnsi="Helvetica" w:cs="Helvetica"/>
          <w:b/>
          <w:bCs/>
          <w:sz w:val="24"/>
          <w:szCs w:val="24"/>
        </w:rPr>
      </w:pPr>
      <w:r w:rsidRPr="79FC1382">
        <w:rPr>
          <w:rFonts w:ascii="Helvetica" w:eastAsia="Times New Roman" w:hAnsi="Helvetica" w:cs="Helvetica"/>
          <w:b/>
          <w:bCs/>
          <w:sz w:val="24"/>
          <w:szCs w:val="24"/>
        </w:rPr>
        <w:t>Transfer to a Four-Year University</w:t>
      </w:r>
      <w:r w:rsidR="003C424D">
        <w:rPr>
          <w:rFonts w:ascii="Helvetica" w:eastAsia="Times New Roman" w:hAnsi="Helvetica" w:cs="Helvetica"/>
          <w:b/>
          <w:bCs/>
          <w:sz w:val="24"/>
          <w:szCs w:val="24"/>
        </w:rPr>
        <w:t xml:space="preserve"> </w:t>
      </w:r>
      <w:r w:rsidRPr="79FC1382">
        <w:rPr>
          <w:rFonts w:ascii="Helvetica" w:eastAsia="Times New Roman" w:hAnsi="Helvetica" w:cs="Helvetica"/>
          <w:sz w:val="24"/>
          <w:szCs w:val="24"/>
        </w:rPr>
        <w:t>Berkeley City College had 1,036 students transfer to a four-year university in 2017-18 and has set a goal of 1,098 based on historical enrollment trends over the past three years. Certain groups have experienced disproportionate impact so the goals for those groups are:</w:t>
      </w:r>
    </w:p>
    <w:p w:rsidR="00F44978" w:rsidRPr="00F44978" w:rsidRDefault="79FC1382" w:rsidP="79FC1382">
      <w:pPr>
        <w:pStyle w:val="ListParagraph"/>
        <w:numPr>
          <w:ilvl w:val="0"/>
          <w:numId w:val="9"/>
        </w:numPr>
        <w:shd w:val="clear" w:color="auto" w:fill="FFFFFF" w:themeFill="background1"/>
        <w:spacing w:before="100" w:beforeAutospacing="1" w:after="100" w:afterAutospacing="1" w:line="240" w:lineRule="auto"/>
        <w:rPr>
          <w:sz w:val="24"/>
          <w:szCs w:val="24"/>
        </w:rPr>
      </w:pPr>
      <w:r w:rsidRPr="79FC1382">
        <w:rPr>
          <w:rFonts w:ascii="Helvetica" w:eastAsia="Times New Roman" w:hAnsi="Helvetica" w:cs="Helvetica"/>
          <w:b/>
          <w:bCs/>
          <w:sz w:val="24"/>
          <w:szCs w:val="24"/>
        </w:rPr>
        <w:t>Disabled, Male</w:t>
      </w:r>
      <w:r w:rsidRPr="79FC1382">
        <w:rPr>
          <w:rFonts w:ascii="Helvetica" w:eastAsia="Times New Roman" w:hAnsi="Helvetica" w:cs="Helvetica"/>
          <w:sz w:val="24"/>
          <w:szCs w:val="24"/>
        </w:rPr>
        <w:t>: increase from 28 to 34, 21%</w:t>
      </w:r>
    </w:p>
    <w:p w:rsidR="00F44978" w:rsidRPr="00F44978" w:rsidRDefault="79FC1382" w:rsidP="79FC1382">
      <w:pPr>
        <w:pStyle w:val="ListParagraph"/>
        <w:numPr>
          <w:ilvl w:val="0"/>
          <w:numId w:val="9"/>
        </w:numPr>
        <w:shd w:val="clear" w:color="auto" w:fill="FFFFFF" w:themeFill="background1"/>
        <w:spacing w:before="100" w:beforeAutospacing="1" w:after="100" w:afterAutospacing="1" w:line="240" w:lineRule="auto"/>
        <w:rPr>
          <w:sz w:val="24"/>
          <w:szCs w:val="24"/>
        </w:rPr>
      </w:pPr>
      <w:r w:rsidRPr="79FC1382">
        <w:rPr>
          <w:rFonts w:ascii="Helvetica" w:eastAsia="Times New Roman" w:hAnsi="Helvetica" w:cs="Helvetica"/>
          <w:b/>
          <w:bCs/>
          <w:sz w:val="24"/>
          <w:szCs w:val="24"/>
        </w:rPr>
        <w:t>Some other race, Female</w:t>
      </w:r>
      <w:r w:rsidRPr="79FC1382">
        <w:rPr>
          <w:rFonts w:ascii="Helvetica" w:eastAsia="Times New Roman" w:hAnsi="Helvetica" w:cs="Helvetica"/>
          <w:sz w:val="24"/>
          <w:szCs w:val="24"/>
        </w:rPr>
        <w:t>: increase from 23 to 24, 4%</w:t>
      </w:r>
    </w:p>
    <w:p w:rsidR="00F44978" w:rsidRPr="00F44978" w:rsidRDefault="79FC1382" w:rsidP="79FC1382">
      <w:pPr>
        <w:pStyle w:val="ListParagraph"/>
        <w:numPr>
          <w:ilvl w:val="0"/>
          <w:numId w:val="9"/>
        </w:numPr>
        <w:shd w:val="clear" w:color="auto" w:fill="FFFFFF" w:themeFill="background1"/>
        <w:spacing w:before="100" w:beforeAutospacing="1" w:after="100" w:afterAutospacing="1" w:line="240" w:lineRule="auto"/>
        <w:rPr>
          <w:sz w:val="24"/>
          <w:szCs w:val="24"/>
        </w:rPr>
      </w:pPr>
      <w:r w:rsidRPr="79FC1382">
        <w:rPr>
          <w:rFonts w:ascii="Helvetica" w:eastAsia="Times New Roman" w:hAnsi="Helvetica" w:cs="Helvetica"/>
          <w:b/>
          <w:bCs/>
          <w:sz w:val="24"/>
          <w:szCs w:val="24"/>
        </w:rPr>
        <w:t>Black or African American, Male</w:t>
      </w:r>
      <w:r w:rsidRPr="79FC1382">
        <w:rPr>
          <w:rFonts w:ascii="Helvetica" w:eastAsia="Times New Roman" w:hAnsi="Helvetica" w:cs="Helvetica"/>
          <w:sz w:val="24"/>
          <w:szCs w:val="24"/>
        </w:rPr>
        <w:t>: increase from 53 to 60, 13%</w:t>
      </w:r>
    </w:p>
    <w:p w:rsidR="00F44978" w:rsidRPr="00F44978" w:rsidRDefault="79FC1382" w:rsidP="79FC1382">
      <w:pPr>
        <w:pStyle w:val="ListParagraph"/>
        <w:numPr>
          <w:ilvl w:val="0"/>
          <w:numId w:val="9"/>
        </w:numPr>
        <w:shd w:val="clear" w:color="auto" w:fill="FFFFFF" w:themeFill="background1"/>
        <w:spacing w:before="100" w:beforeAutospacing="1" w:after="100" w:afterAutospacing="1" w:line="240" w:lineRule="auto"/>
        <w:rPr>
          <w:sz w:val="24"/>
          <w:szCs w:val="24"/>
        </w:rPr>
      </w:pPr>
      <w:r w:rsidRPr="79FC1382">
        <w:rPr>
          <w:rFonts w:ascii="Helvetica" w:eastAsia="Times New Roman" w:hAnsi="Helvetica" w:cs="Helvetica"/>
          <w:b/>
          <w:bCs/>
          <w:sz w:val="24"/>
          <w:szCs w:val="24"/>
        </w:rPr>
        <w:t>Some other race, Male</w:t>
      </w:r>
      <w:r w:rsidRPr="79FC1382">
        <w:rPr>
          <w:rFonts w:ascii="Helvetica" w:eastAsia="Times New Roman" w:hAnsi="Helvetica" w:cs="Helvetica"/>
          <w:sz w:val="24"/>
          <w:szCs w:val="24"/>
        </w:rPr>
        <w:t>: increase from 13 to 17, 31%</w:t>
      </w:r>
    </w:p>
    <w:p w:rsidR="00F44978" w:rsidRPr="00F44978" w:rsidRDefault="79FC1382" w:rsidP="79FC1382">
      <w:pPr>
        <w:pStyle w:val="ListParagraph"/>
        <w:numPr>
          <w:ilvl w:val="0"/>
          <w:numId w:val="9"/>
        </w:numPr>
        <w:shd w:val="clear" w:color="auto" w:fill="FFFFFF" w:themeFill="background1"/>
        <w:spacing w:before="100" w:beforeAutospacing="1" w:after="100" w:afterAutospacing="1" w:line="240" w:lineRule="auto"/>
        <w:rPr>
          <w:sz w:val="24"/>
          <w:szCs w:val="24"/>
        </w:rPr>
      </w:pPr>
      <w:r w:rsidRPr="79FC1382">
        <w:rPr>
          <w:rFonts w:ascii="Helvetica" w:eastAsia="Times New Roman" w:hAnsi="Helvetica" w:cs="Helvetica"/>
          <w:b/>
          <w:bCs/>
          <w:sz w:val="24"/>
          <w:szCs w:val="24"/>
        </w:rPr>
        <w:t>LGBT, Male</w:t>
      </w:r>
      <w:r w:rsidRPr="79FC1382">
        <w:rPr>
          <w:rFonts w:ascii="Helvetica" w:eastAsia="Times New Roman" w:hAnsi="Helvetica" w:cs="Helvetica"/>
          <w:sz w:val="24"/>
          <w:szCs w:val="24"/>
        </w:rPr>
        <w:t>: increase from 10 to 14, 40%</w:t>
      </w:r>
    </w:p>
    <w:p w:rsidR="00F44978" w:rsidRPr="00F44978" w:rsidRDefault="79FC1382" w:rsidP="79FC1382">
      <w:pPr>
        <w:pStyle w:val="ListParagraph"/>
        <w:numPr>
          <w:ilvl w:val="0"/>
          <w:numId w:val="9"/>
        </w:numPr>
        <w:shd w:val="clear" w:color="auto" w:fill="FFFFFF" w:themeFill="background1"/>
        <w:spacing w:before="100" w:beforeAutospacing="1" w:after="100" w:afterAutospacing="1" w:line="240" w:lineRule="auto"/>
        <w:rPr>
          <w:sz w:val="24"/>
          <w:szCs w:val="24"/>
        </w:rPr>
      </w:pPr>
      <w:r w:rsidRPr="79FC1382">
        <w:rPr>
          <w:rFonts w:ascii="Helvetica" w:eastAsia="Times New Roman" w:hAnsi="Helvetica" w:cs="Helvetica"/>
          <w:b/>
          <w:bCs/>
          <w:sz w:val="24"/>
          <w:szCs w:val="24"/>
        </w:rPr>
        <w:t>Foster Youth, Female</w:t>
      </w:r>
      <w:r w:rsidRPr="79FC1382">
        <w:rPr>
          <w:rFonts w:ascii="Helvetica" w:eastAsia="Times New Roman" w:hAnsi="Helvetica" w:cs="Helvetica"/>
          <w:sz w:val="24"/>
          <w:szCs w:val="24"/>
        </w:rPr>
        <w:t>: increase from 7 to 12, 58%</w:t>
      </w:r>
    </w:p>
    <w:p w:rsidR="59CD8032" w:rsidRPr="003C424D" w:rsidRDefault="59CD8032" w:rsidP="003C424D">
      <w:pPr>
        <w:pStyle w:val="ListParagraph"/>
        <w:numPr>
          <w:ilvl w:val="0"/>
          <w:numId w:val="9"/>
        </w:numPr>
        <w:shd w:val="clear" w:color="auto" w:fill="FFFFFF" w:themeFill="background1"/>
        <w:spacing w:before="100" w:beforeAutospacing="1" w:after="100" w:afterAutospacing="1" w:line="240" w:lineRule="auto"/>
        <w:rPr>
          <w:sz w:val="24"/>
          <w:szCs w:val="24"/>
        </w:rPr>
      </w:pPr>
      <w:r w:rsidRPr="59CD8032">
        <w:rPr>
          <w:rFonts w:ascii="Helvetica" w:eastAsia="Times New Roman" w:hAnsi="Helvetica" w:cs="Helvetica"/>
          <w:b/>
          <w:bCs/>
          <w:sz w:val="24"/>
          <w:szCs w:val="24"/>
        </w:rPr>
        <w:t>Filipino, Male</w:t>
      </w:r>
      <w:r w:rsidRPr="59CD8032">
        <w:rPr>
          <w:rFonts w:ascii="Helvetica" w:eastAsia="Times New Roman" w:hAnsi="Helvetica" w:cs="Helvetica"/>
          <w:sz w:val="24"/>
          <w:szCs w:val="24"/>
        </w:rPr>
        <w:t>: increase from 8 to 11, 73%</w:t>
      </w:r>
    </w:p>
    <w:p w:rsidR="00F44978" w:rsidRPr="003C424D" w:rsidRDefault="79FC1382" w:rsidP="79FC1382">
      <w:pPr>
        <w:shd w:val="clear" w:color="auto" w:fill="FFFFFF" w:themeFill="background1"/>
        <w:spacing w:before="100" w:beforeAutospacing="1" w:after="100" w:afterAutospacing="1" w:line="240" w:lineRule="auto"/>
        <w:rPr>
          <w:rFonts w:ascii="Helvetica" w:eastAsia="Times New Roman" w:hAnsi="Helvetica" w:cs="Helvetica"/>
          <w:b/>
          <w:bCs/>
          <w:sz w:val="24"/>
          <w:szCs w:val="24"/>
        </w:rPr>
      </w:pPr>
      <w:r w:rsidRPr="79FC1382">
        <w:rPr>
          <w:rFonts w:ascii="Helvetica" w:eastAsia="Times New Roman" w:hAnsi="Helvetica" w:cs="Helvetica"/>
          <w:b/>
          <w:bCs/>
          <w:sz w:val="24"/>
          <w:szCs w:val="24"/>
        </w:rPr>
        <w:t>Completion of Transfer-level English and Math</w:t>
      </w:r>
      <w:r w:rsidR="003C424D">
        <w:rPr>
          <w:rFonts w:ascii="Helvetica" w:eastAsia="Times New Roman" w:hAnsi="Helvetica" w:cs="Helvetica"/>
          <w:b/>
          <w:bCs/>
          <w:sz w:val="24"/>
          <w:szCs w:val="24"/>
        </w:rPr>
        <w:t xml:space="preserve"> </w:t>
      </w:r>
      <w:r w:rsidRPr="79FC1382">
        <w:rPr>
          <w:rFonts w:ascii="Helvetica" w:eastAsia="Times New Roman" w:hAnsi="Helvetica" w:cs="Helvetica"/>
          <w:sz w:val="24"/>
          <w:szCs w:val="24"/>
        </w:rPr>
        <w:t xml:space="preserve">The </w:t>
      </w:r>
      <w:r w:rsidR="003C424D" w:rsidRPr="79FC1382">
        <w:rPr>
          <w:rFonts w:ascii="Helvetica" w:eastAsia="Times New Roman" w:hAnsi="Helvetica" w:cs="Helvetica"/>
          <w:sz w:val="24"/>
          <w:szCs w:val="24"/>
        </w:rPr>
        <w:t>College</w:t>
      </w:r>
      <w:r w:rsidRPr="79FC1382">
        <w:rPr>
          <w:rFonts w:ascii="Helvetica" w:eastAsia="Times New Roman" w:hAnsi="Helvetica" w:cs="Helvetica"/>
          <w:sz w:val="24"/>
          <w:szCs w:val="24"/>
        </w:rPr>
        <w:t xml:space="preserve"> had 139 students complete Transfer-level English and Math in the first year in 2017-2018. The goal is to have 159 students in three years. Some groups have experienced disproportionate impact, so the goals for these groups are:</w:t>
      </w:r>
    </w:p>
    <w:p w:rsidR="00F44978" w:rsidRPr="00F44978" w:rsidRDefault="79FC1382" w:rsidP="79FC1382">
      <w:pPr>
        <w:pStyle w:val="ListParagraph"/>
        <w:numPr>
          <w:ilvl w:val="0"/>
          <w:numId w:val="8"/>
        </w:numPr>
        <w:shd w:val="clear" w:color="auto" w:fill="FFFFFF" w:themeFill="background1"/>
        <w:spacing w:before="100" w:beforeAutospacing="1" w:after="100" w:afterAutospacing="1" w:line="240" w:lineRule="auto"/>
        <w:rPr>
          <w:sz w:val="24"/>
          <w:szCs w:val="24"/>
        </w:rPr>
      </w:pPr>
      <w:r w:rsidRPr="79FC1382">
        <w:rPr>
          <w:rFonts w:ascii="Helvetica" w:eastAsia="Times New Roman" w:hAnsi="Helvetica" w:cs="Helvetica"/>
          <w:b/>
          <w:bCs/>
          <w:sz w:val="24"/>
          <w:szCs w:val="24"/>
        </w:rPr>
        <w:t>White, Female</w:t>
      </w:r>
      <w:r w:rsidRPr="79FC1382">
        <w:rPr>
          <w:rFonts w:ascii="Helvetica" w:eastAsia="Times New Roman" w:hAnsi="Helvetica" w:cs="Helvetica"/>
          <w:sz w:val="24"/>
          <w:szCs w:val="24"/>
        </w:rPr>
        <w:t>: increase from 4 to 15, 27%</w:t>
      </w:r>
    </w:p>
    <w:p w:rsidR="00F44978" w:rsidRPr="003C424D" w:rsidRDefault="79FC1382" w:rsidP="003C424D">
      <w:pPr>
        <w:pStyle w:val="ListParagraph"/>
        <w:numPr>
          <w:ilvl w:val="0"/>
          <w:numId w:val="8"/>
        </w:numPr>
        <w:shd w:val="clear" w:color="auto" w:fill="FFFFFF" w:themeFill="background1"/>
        <w:spacing w:before="100" w:beforeAutospacing="1" w:after="100" w:afterAutospacing="1" w:line="240" w:lineRule="auto"/>
        <w:rPr>
          <w:sz w:val="24"/>
          <w:szCs w:val="24"/>
        </w:rPr>
      </w:pPr>
      <w:r w:rsidRPr="79FC1382">
        <w:rPr>
          <w:rFonts w:ascii="Helvetica" w:eastAsia="Times New Roman" w:hAnsi="Helvetica" w:cs="Helvetica"/>
          <w:b/>
          <w:bCs/>
          <w:sz w:val="24"/>
          <w:szCs w:val="24"/>
        </w:rPr>
        <w:t>Black or African American, Male</w:t>
      </w:r>
      <w:r w:rsidRPr="79FC1382">
        <w:rPr>
          <w:rFonts w:ascii="Helvetica" w:eastAsia="Times New Roman" w:hAnsi="Helvetica" w:cs="Helvetica"/>
          <w:sz w:val="24"/>
          <w:szCs w:val="24"/>
        </w:rPr>
        <w:t>: increase from 6 to 10, 60%</w:t>
      </w:r>
    </w:p>
    <w:p w:rsidR="00F44978" w:rsidRPr="00F44978" w:rsidRDefault="79FC1382" w:rsidP="79FC1382">
      <w:pPr>
        <w:shd w:val="clear" w:color="auto" w:fill="FFFFFF" w:themeFill="background1"/>
        <w:spacing w:before="100" w:beforeAutospacing="1" w:after="100" w:afterAutospacing="1" w:line="240" w:lineRule="auto"/>
        <w:rPr>
          <w:rFonts w:ascii="Helvetica" w:eastAsia="Times New Roman" w:hAnsi="Helvetica" w:cs="Helvetica"/>
          <w:sz w:val="24"/>
          <w:szCs w:val="24"/>
        </w:rPr>
      </w:pPr>
      <w:r w:rsidRPr="79FC1382">
        <w:rPr>
          <w:rFonts w:ascii="Helvetica" w:eastAsia="Times New Roman" w:hAnsi="Helvetica" w:cs="Helvetica"/>
          <w:b/>
          <w:bCs/>
          <w:sz w:val="24"/>
          <w:szCs w:val="24"/>
        </w:rPr>
        <w:t>Attained the Vision Goal Completion Definition (earned associate degree or credit certificate over 18 units)</w:t>
      </w:r>
      <w:r w:rsidR="003C424D">
        <w:rPr>
          <w:rFonts w:ascii="Helvetica" w:eastAsia="Times New Roman" w:hAnsi="Helvetica" w:cs="Helvetica"/>
          <w:sz w:val="24"/>
          <w:szCs w:val="24"/>
        </w:rPr>
        <w:t xml:space="preserve"> </w:t>
      </w:r>
      <w:r w:rsidRPr="79FC1382">
        <w:rPr>
          <w:rFonts w:ascii="Helvetica" w:eastAsia="Times New Roman" w:hAnsi="Helvetica" w:cs="Helvetica"/>
          <w:sz w:val="24"/>
          <w:szCs w:val="24"/>
        </w:rPr>
        <w:t xml:space="preserve">BCC awarded 350 degrees and certificates in 2017-18 and would like to increase that to 385 degrees in three years. Certain groups have experienced disproportionate impact, so the goals for these groups are: </w:t>
      </w:r>
    </w:p>
    <w:p w:rsidR="00F44978" w:rsidRPr="00F44978" w:rsidRDefault="79FC1382" w:rsidP="79FC1382">
      <w:pPr>
        <w:pStyle w:val="ListParagraph"/>
        <w:numPr>
          <w:ilvl w:val="0"/>
          <w:numId w:val="7"/>
        </w:numPr>
        <w:shd w:val="clear" w:color="auto" w:fill="FFFFFF" w:themeFill="background1"/>
        <w:spacing w:before="100" w:beforeAutospacing="1" w:after="100" w:afterAutospacing="1" w:line="240" w:lineRule="auto"/>
        <w:rPr>
          <w:sz w:val="24"/>
          <w:szCs w:val="24"/>
        </w:rPr>
      </w:pPr>
      <w:r w:rsidRPr="79FC1382">
        <w:rPr>
          <w:rFonts w:ascii="Helvetica" w:eastAsia="Times New Roman" w:hAnsi="Helvetica" w:cs="Helvetica"/>
          <w:b/>
          <w:bCs/>
          <w:sz w:val="24"/>
          <w:szCs w:val="24"/>
        </w:rPr>
        <w:t>Black or African American, Female</w:t>
      </w:r>
      <w:r w:rsidRPr="79FC1382">
        <w:rPr>
          <w:rFonts w:ascii="Helvetica" w:eastAsia="Times New Roman" w:hAnsi="Helvetica" w:cs="Helvetica"/>
          <w:sz w:val="24"/>
          <w:szCs w:val="24"/>
        </w:rPr>
        <w:t>: increase from 25 to 29, 86%</w:t>
      </w:r>
    </w:p>
    <w:p w:rsidR="00F44978" w:rsidRPr="00F44978" w:rsidRDefault="79FC1382" w:rsidP="79FC1382">
      <w:pPr>
        <w:pStyle w:val="ListParagraph"/>
        <w:numPr>
          <w:ilvl w:val="0"/>
          <w:numId w:val="7"/>
        </w:numPr>
        <w:shd w:val="clear" w:color="auto" w:fill="FFFFFF" w:themeFill="background1"/>
        <w:spacing w:before="100" w:beforeAutospacing="1" w:after="100" w:afterAutospacing="1" w:line="240" w:lineRule="auto"/>
        <w:rPr>
          <w:sz w:val="24"/>
          <w:szCs w:val="24"/>
        </w:rPr>
      </w:pPr>
      <w:r w:rsidRPr="79FC1382">
        <w:rPr>
          <w:rFonts w:ascii="Helvetica" w:eastAsia="Times New Roman" w:hAnsi="Helvetica" w:cs="Helvetica"/>
          <w:b/>
          <w:bCs/>
          <w:sz w:val="24"/>
          <w:szCs w:val="24"/>
        </w:rPr>
        <w:t>Black of African American, Male</w:t>
      </w:r>
      <w:r w:rsidRPr="79FC1382">
        <w:rPr>
          <w:rFonts w:ascii="Helvetica" w:eastAsia="Times New Roman" w:hAnsi="Helvetica" w:cs="Helvetica"/>
          <w:sz w:val="24"/>
          <w:szCs w:val="24"/>
        </w:rPr>
        <w:t>: increase from 13 to 19, 68%</w:t>
      </w:r>
    </w:p>
    <w:p w:rsidR="00F44978" w:rsidRPr="00F44978" w:rsidRDefault="79FC1382" w:rsidP="79FC1382">
      <w:pPr>
        <w:pStyle w:val="ListParagraph"/>
        <w:numPr>
          <w:ilvl w:val="0"/>
          <w:numId w:val="7"/>
        </w:numPr>
        <w:shd w:val="clear" w:color="auto" w:fill="FFFFFF" w:themeFill="background1"/>
        <w:spacing w:before="100" w:beforeAutospacing="1" w:after="100" w:afterAutospacing="1" w:line="240" w:lineRule="auto"/>
        <w:rPr>
          <w:sz w:val="24"/>
          <w:szCs w:val="24"/>
        </w:rPr>
      </w:pPr>
      <w:r w:rsidRPr="79FC1382">
        <w:rPr>
          <w:rFonts w:ascii="Helvetica" w:eastAsia="Times New Roman" w:hAnsi="Helvetica" w:cs="Helvetica"/>
          <w:b/>
          <w:bCs/>
          <w:sz w:val="24"/>
          <w:szCs w:val="24"/>
        </w:rPr>
        <w:t>Hispanic or Latino, Male</w:t>
      </w:r>
      <w:r w:rsidRPr="79FC1382">
        <w:rPr>
          <w:rFonts w:ascii="Helvetica" w:eastAsia="Times New Roman" w:hAnsi="Helvetica" w:cs="Helvetica"/>
          <w:sz w:val="24"/>
          <w:szCs w:val="24"/>
        </w:rPr>
        <w:t>: increase from 23 to 27, 85%</w:t>
      </w:r>
    </w:p>
    <w:p w:rsidR="59CD8032" w:rsidRPr="003C424D" w:rsidRDefault="59CD8032" w:rsidP="59CD8032">
      <w:pPr>
        <w:pStyle w:val="ListParagraph"/>
        <w:numPr>
          <w:ilvl w:val="0"/>
          <w:numId w:val="7"/>
        </w:numPr>
        <w:shd w:val="clear" w:color="auto" w:fill="FFFFFF" w:themeFill="background1"/>
        <w:spacing w:before="100" w:beforeAutospacing="1" w:after="100" w:afterAutospacing="1" w:line="240" w:lineRule="auto"/>
        <w:rPr>
          <w:sz w:val="24"/>
          <w:szCs w:val="24"/>
        </w:rPr>
      </w:pPr>
      <w:r w:rsidRPr="59CD8032">
        <w:rPr>
          <w:rFonts w:ascii="Helvetica" w:eastAsia="Times New Roman" w:hAnsi="Helvetica" w:cs="Helvetica"/>
          <w:b/>
          <w:bCs/>
          <w:sz w:val="24"/>
          <w:szCs w:val="24"/>
        </w:rPr>
        <w:t>LGBT, Female</w:t>
      </w:r>
      <w:r w:rsidRPr="59CD8032">
        <w:rPr>
          <w:rFonts w:ascii="Helvetica" w:eastAsia="Times New Roman" w:hAnsi="Helvetica" w:cs="Helvetica"/>
          <w:sz w:val="24"/>
          <w:szCs w:val="24"/>
        </w:rPr>
        <w:t>: increase from 9 to 11, 81%</w:t>
      </w:r>
    </w:p>
    <w:p w:rsidR="59CD8032" w:rsidRDefault="59CD8032" w:rsidP="59CD8032">
      <w:pPr>
        <w:shd w:val="clear" w:color="auto" w:fill="FFFFFF" w:themeFill="background1"/>
        <w:spacing w:beforeAutospacing="1" w:afterAutospacing="1" w:line="240" w:lineRule="auto"/>
        <w:rPr>
          <w:rFonts w:ascii="Helvetica" w:eastAsia="Times New Roman" w:hAnsi="Helvetica" w:cs="Helvetica"/>
          <w:sz w:val="24"/>
          <w:szCs w:val="24"/>
        </w:rPr>
      </w:pPr>
      <w:r w:rsidRPr="59CD8032">
        <w:rPr>
          <w:rFonts w:ascii="Helvetica" w:eastAsia="Times New Roman" w:hAnsi="Helvetica" w:cs="Helvetica"/>
          <w:sz w:val="24"/>
          <w:szCs w:val="24"/>
        </w:rPr>
        <w:t>In addition to the goals for the targeted populations mentioned above, there are also Student Equity goals for the overall college population. Please see Table 1 for all the Berkeley City College Student Equity goals.</w:t>
      </w:r>
    </w:p>
    <w:tbl>
      <w:tblPr>
        <w:tblW w:w="0" w:type="auto"/>
        <w:tblInd w:w="-10" w:type="dxa"/>
        <w:tblLook w:val="04A0" w:firstRow="1" w:lastRow="0" w:firstColumn="1" w:lastColumn="0" w:noHBand="0" w:noVBand="1"/>
      </w:tblPr>
      <w:tblGrid>
        <w:gridCol w:w="2573"/>
        <w:gridCol w:w="1097"/>
        <w:gridCol w:w="1592"/>
        <w:gridCol w:w="978"/>
        <w:gridCol w:w="842"/>
        <w:gridCol w:w="960"/>
        <w:gridCol w:w="1308"/>
      </w:tblGrid>
      <w:tr w:rsidR="79FC1382" w:rsidTr="59CD8032">
        <w:trPr>
          <w:trHeight w:val="960"/>
        </w:trPr>
        <w:tc>
          <w:tcPr>
            <w:tcW w:w="5640" w:type="dxa"/>
            <w:tcBorders>
              <w:top w:val="single" w:sz="8" w:space="0" w:color="auto"/>
              <w:left w:val="single" w:sz="8" w:space="0" w:color="auto"/>
              <w:bottom w:val="single" w:sz="8" w:space="0" w:color="auto"/>
              <w:right w:val="single" w:sz="4" w:space="0" w:color="auto"/>
            </w:tcBorders>
            <w:shd w:val="clear" w:color="auto" w:fill="FFD966" w:themeFill="accent4" w:themeFillTint="99"/>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lastRenderedPageBreak/>
              <w:t>BCC STUDENT EQUITY PLAN 2018-19 to 2021-2022</w:t>
            </w:r>
            <w:r>
              <w:br/>
            </w:r>
            <w:r w:rsidRPr="79FC1382">
              <w:rPr>
                <w:rFonts w:ascii="Franklin Gothic Demi" w:eastAsia="Times New Roman" w:hAnsi="Franklin Gothic Demi" w:cs="Times New Roman"/>
                <w:color w:val="000000" w:themeColor="text1"/>
              </w:rPr>
              <w:t>NOVA Metrics and DI (disproportionately impacted) Groups</w:t>
            </w:r>
          </w:p>
        </w:tc>
        <w:tc>
          <w:tcPr>
            <w:tcW w:w="1097" w:type="dxa"/>
            <w:tcBorders>
              <w:top w:val="single" w:sz="8" w:space="0" w:color="auto"/>
              <w:left w:val="nil"/>
              <w:bottom w:val="single" w:sz="8" w:space="0" w:color="auto"/>
              <w:right w:val="single" w:sz="4" w:space="0" w:color="auto"/>
            </w:tcBorders>
            <w:shd w:val="clear" w:color="auto" w:fill="FFD966" w:themeFill="accent4" w:themeFillTint="99"/>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 xml:space="preserve">Metrics (baseline </w:t>
            </w:r>
            <w:r>
              <w:br/>
            </w:r>
            <w:r w:rsidRPr="79FC1382">
              <w:rPr>
                <w:rFonts w:ascii="Franklin Gothic Demi" w:eastAsia="Times New Roman" w:hAnsi="Franklin Gothic Demi" w:cs="Times New Roman"/>
                <w:color w:val="000000" w:themeColor="text1"/>
              </w:rPr>
              <w:t>2017-18)</w:t>
            </w:r>
          </w:p>
        </w:tc>
        <w:tc>
          <w:tcPr>
            <w:tcW w:w="4240" w:type="dxa"/>
            <w:tcBorders>
              <w:top w:val="single" w:sz="8" w:space="0" w:color="auto"/>
              <w:left w:val="nil"/>
              <w:bottom w:val="single" w:sz="8" w:space="0" w:color="auto"/>
              <w:right w:val="single" w:sz="4" w:space="0" w:color="auto"/>
            </w:tcBorders>
            <w:shd w:val="clear" w:color="auto" w:fill="FFD966" w:themeFill="accent4" w:themeFillTint="99"/>
            <w:vAlign w:val="bottom"/>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Increase Minimum Equity</w:t>
            </w:r>
          </w:p>
        </w:tc>
        <w:tc>
          <w:tcPr>
            <w:tcW w:w="1120" w:type="dxa"/>
            <w:tcBorders>
              <w:top w:val="single" w:sz="8" w:space="0" w:color="auto"/>
              <w:left w:val="nil"/>
              <w:bottom w:val="single" w:sz="8" w:space="0" w:color="auto"/>
              <w:right w:val="single" w:sz="4" w:space="0" w:color="auto"/>
            </w:tcBorders>
            <w:shd w:val="clear" w:color="auto" w:fill="D9E1F2"/>
            <w:vAlign w:val="bottom"/>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Min % Change</w:t>
            </w:r>
          </w:p>
        </w:tc>
        <w:tc>
          <w:tcPr>
            <w:tcW w:w="1000" w:type="dxa"/>
            <w:tcBorders>
              <w:top w:val="single" w:sz="8" w:space="0" w:color="auto"/>
              <w:left w:val="nil"/>
              <w:bottom w:val="single" w:sz="8" w:space="0" w:color="auto"/>
              <w:right w:val="single" w:sz="4" w:space="0" w:color="auto"/>
            </w:tcBorders>
            <w:shd w:val="clear" w:color="auto" w:fill="FFD966" w:themeFill="accent4" w:themeFillTint="99"/>
            <w:vAlign w:val="bottom"/>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Full Equity</w:t>
            </w:r>
          </w:p>
        </w:tc>
        <w:tc>
          <w:tcPr>
            <w:tcW w:w="1000" w:type="dxa"/>
            <w:tcBorders>
              <w:top w:val="single" w:sz="8" w:space="0" w:color="auto"/>
              <w:left w:val="nil"/>
              <w:bottom w:val="single" w:sz="8" w:space="0" w:color="auto"/>
              <w:right w:val="single" w:sz="4" w:space="0" w:color="auto"/>
            </w:tcBorders>
            <w:shd w:val="clear" w:color="auto" w:fill="D9E1F2"/>
            <w:vAlign w:val="bottom"/>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Full % Change</w:t>
            </w:r>
          </w:p>
        </w:tc>
        <w:tc>
          <w:tcPr>
            <w:tcW w:w="2440" w:type="dxa"/>
            <w:tcBorders>
              <w:top w:val="single" w:sz="8" w:space="0" w:color="auto"/>
              <w:left w:val="nil"/>
              <w:bottom w:val="single" w:sz="8" w:space="0" w:color="auto"/>
              <w:right w:val="single" w:sz="8" w:space="0" w:color="auto"/>
            </w:tcBorders>
            <w:shd w:val="clear" w:color="auto" w:fill="FFD966" w:themeFill="accent4" w:themeFillTint="99"/>
            <w:vAlign w:val="bottom"/>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sz w:val="28"/>
                <w:szCs w:val="28"/>
              </w:rPr>
              <w:t xml:space="preserve">SE </w:t>
            </w:r>
            <w:r w:rsidRPr="79FC1382">
              <w:rPr>
                <w:rFonts w:ascii="Franklin Gothic Demi" w:eastAsia="Times New Roman" w:hAnsi="Franklin Gothic Demi" w:cs="Times New Roman"/>
                <w:color w:val="000000" w:themeColor="text1"/>
              </w:rPr>
              <w:t>Goal for 20-21</w:t>
            </w:r>
          </w:p>
        </w:tc>
      </w:tr>
      <w:tr w:rsidR="79FC1382" w:rsidTr="59CD8032">
        <w:trPr>
          <w:trHeight w:val="315"/>
        </w:trPr>
        <w:tc>
          <w:tcPr>
            <w:tcW w:w="5640" w:type="dxa"/>
            <w:tcBorders>
              <w:top w:val="nil"/>
              <w:left w:val="single" w:sz="8" w:space="0" w:color="auto"/>
              <w:bottom w:val="single" w:sz="4"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Enrolled in the same Community College</w:t>
            </w:r>
          </w:p>
        </w:tc>
        <w:tc>
          <w:tcPr>
            <w:tcW w:w="1097"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 xml:space="preserve">     6,869 </w:t>
            </w:r>
          </w:p>
        </w:tc>
        <w:tc>
          <w:tcPr>
            <w:tcW w:w="7360" w:type="dxa"/>
            <w:gridSpan w:val="4"/>
            <w:vMerge w:val="restart"/>
            <w:tcBorders>
              <w:top w:val="nil"/>
              <w:left w:val="single" w:sz="4" w:space="0" w:color="auto"/>
              <w:bottom w:val="single" w:sz="4" w:space="0" w:color="000000" w:themeColor="text1"/>
              <w:right w:val="single" w:sz="4" w:space="0" w:color="000000" w:themeColor="text1"/>
            </w:tcBorders>
            <w:shd w:val="clear" w:color="auto" w:fill="D9E1F2"/>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 </w:t>
            </w:r>
          </w:p>
        </w:tc>
        <w:tc>
          <w:tcPr>
            <w:tcW w:w="2440" w:type="dxa"/>
            <w:tcBorders>
              <w:top w:val="nil"/>
              <w:left w:val="nil"/>
              <w:bottom w:val="single" w:sz="4" w:space="0" w:color="auto"/>
              <w:right w:val="single" w:sz="8"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7,027 (increase by 2%)</w:t>
            </w:r>
          </w:p>
        </w:tc>
      </w:tr>
      <w:tr w:rsidR="79FC1382" w:rsidTr="59CD8032">
        <w:trPr>
          <w:trHeight w:val="315"/>
        </w:trPr>
        <w:tc>
          <w:tcPr>
            <w:tcW w:w="5640" w:type="dxa"/>
            <w:tcBorders>
              <w:top w:val="nil"/>
              <w:left w:val="single" w:sz="8" w:space="0" w:color="auto"/>
              <w:bottom w:val="single" w:sz="4"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Retained from Fall to Spring at the same college</w:t>
            </w:r>
          </w:p>
        </w:tc>
        <w:tc>
          <w:tcPr>
            <w:tcW w:w="1097"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 xml:space="preserve">     3,269 </w:t>
            </w:r>
          </w:p>
        </w:tc>
        <w:tc>
          <w:tcPr>
            <w:tcW w:w="7360" w:type="dxa"/>
            <w:gridSpan w:val="4"/>
            <w:vMerge/>
          </w:tcPr>
          <w:p w:rsidR="007B1AB5" w:rsidRDefault="007B1AB5"/>
        </w:tc>
        <w:tc>
          <w:tcPr>
            <w:tcW w:w="2440" w:type="dxa"/>
            <w:tcBorders>
              <w:top w:val="nil"/>
              <w:left w:val="nil"/>
              <w:bottom w:val="single" w:sz="4" w:space="0" w:color="auto"/>
              <w:right w:val="single" w:sz="8"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3,468 (increase by 6%)</w:t>
            </w:r>
          </w:p>
        </w:tc>
      </w:tr>
      <w:tr w:rsidR="79FC1382" w:rsidTr="59CD8032">
        <w:trPr>
          <w:trHeight w:val="630"/>
        </w:trPr>
        <w:tc>
          <w:tcPr>
            <w:tcW w:w="5640" w:type="dxa"/>
            <w:tcBorders>
              <w:top w:val="nil"/>
              <w:left w:val="single" w:sz="8" w:space="0" w:color="auto"/>
              <w:bottom w:val="single" w:sz="4"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Completed Both Transfer-Level Math and English within the District in the First year</w:t>
            </w:r>
          </w:p>
        </w:tc>
        <w:tc>
          <w:tcPr>
            <w:tcW w:w="1097"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 xml:space="preserve">        139 </w:t>
            </w:r>
          </w:p>
        </w:tc>
        <w:tc>
          <w:tcPr>
            <w:tcW w:w="7360" w:type="dxa"/>
            <w:gridSpan w:val="4"/>
            <w:vMerge/>
          </w:tcPr>
          <w:p w:rsidR="007B1AB5" w:rsidRDefault="007B1AB5"/>
        </w:tc>
        <w:tc>
          <w:tcPr>
            <w:tcW w:w="2440" w:type="dxa"/>
            <w:tcBorders>
              <w:top w:val="nil"/>
              <w:left w:val="nil"/>
              <w:bottom w:val="single" w:sz="4" w:space="0" w:color="auto"/>
              <w:right w:val="single" w:sz="8"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159 for 14% increase</w:t>
            </w:r>
          </w:p>
        </w:tc>
      </w:tr>
      <w:tr w:rsidR="79FC1382" w:rsidTr="59CD8032">
        <w:trPr>
          <w:trHeight w:val="315"/>
        </w:trPr>
        <w:tc>
          <w:tcPr>
            <w:tcW w:w="5640" w:type="dxa"/>
            <w:tcBorders>
              <w:top w:val="nil"/>
              <w:left w:val="single" w:sz="8" w:space="0" w:color="auto"/>
              <w:bottom w:val="single" w:sz="4"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Attained the Vision Goal Completion Definition (20%)</w:t>
            </w:r>
          </w:p>
        </w:tc>
        <w:tc>
          <w:tcPr>
            <w:tcW w:w="1097"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 xml:space="preserve">        350 </w:t>
            </w:r>
          </w:p>
        </w:tc>
        <w:tc>
          <w:tcPr>
            <w:tcW w:w="7360" w:type="dxa"/>
            <w:gridSpan w:val="4"/>
            <w:vMerge/>
          </w:tcPr>
          <w:p w:rsidR="007B1AB5" w:rsidRDefault="007B1AB5"/>
        </w:tc>
        <w:tc>
          <w:tcPr>
            <w:tcW w:w="2440" w:type="dxa"/>
            <w:tcBorders>
              <w:top w:val="nil"/>
              <w:left w:val="nil"/>
              <w:bottom w:val="single" w:sz="4" w:space="0" w:color="auto"/>
              <w:right w:val="single" w:sz="8"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385 (increase by 10%)</w:t>
            </w:r>
          </w:p>
        </w:tc>
      </w:tr>
      <w:tr w:rsidR="79FC1382" w:rsidTr="59CD8032">
        <w:trPr>
          <w:trHeight w:val="315"/>
        </w:trPr>
        <w:tc>
          <w:tcPr>
            <w:tcW w:w="5640" w:type="dxa"/>
            <w:tcBorders>
              <w:top w:val="nil"/>
              <w:left w:val="single" w:sz="8" w:space="0" w:color="auto"/>
              <w:bottom w:val="single" w:sz="4"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Transfer to a Four-Year Institution</w:t>
            </w:r>
          </w:p>
        </w:tc>
        <w:tc>
          <w:tcPr>
            <w:tcW w:w="1097"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 xml:space="preserve">     1,036 </w:t>
            </w:r>
          </w:p>
        </w:tc>
        <w:tc>
          <w:tcPr>
            <w:tcW w:w="7360" w:type="dxa"/>
            <w:gridSpan w:val="4"/>
            <w:vMerge/>
          </w:tcPr>
          <w:p w:rsidR="007B1AB5" w:rsidRDefault="007B1AB5"/>
        </w:tc>
        <w:tc>
          <w:tcPr>
            <w:tcW w:w="2440" w:type="dxa"/>
            <w:tcBorders>
              <w:top w:val="nil"/>
              <w:left w:val="nil"/>
              <w:bottom w:val="single" w:sz="4" w:space="0" w:color="auto"/>
              <w:right w:val="single" w:sz="8"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1,098 (increase by 6%)</w:t>
            </w:r>
          </w:p>
        </w:tc>
      </w:tr>
      <w:tr w:rsidR="79FC1382" w:rsidTr="59CD8032">
        <w:trPr>
          <w:trHeight w:val="330"/>
        </w:trPr>
        <w:tc>
          <w:tcPr>
            <w:tcW w:w="5640" w:type="dxa"/>
            <w:tcBorders>
              <w:top w:val="nil"/>
              <w:left w:val="single" w:sz="8" w:space="0" w:color="auto"/>
              <w:bottom w:val="single" w:sz="8" w:space="0" w:color="auto"/>
              <w:right w:val="single" w:sz="4" w:space="0" w:color="auto"/>
            </w:tcBorders>
            <w:shd w:val="clear" w:color="auto" w:fill="000000" w:themeFill="text1"/>
          </w:tcPr>
          <w:p w:rsidR="79FC1382" w:rsidRDefault="79FC1382" w:rsidP="79FC1382">
            <w:pPr>
              <w:spacing w:after="0" w:line="240" w:lineRule="auto"/>
              <w:rPr>
                <w:rFonts w:ascii="Franklin Gothic Demi" w:eastAsia="Times New Roman" w:hAnsi="Franklin Gothic Demi" w:cs="Times New Roman"/>
                <w:color w:val="FFFFFF" w:themeColor="background1"/>
              </w:rPr>
            </w:pPr>
            <w:r w:rsidRPr="79FC1382">
              <w:rPr>
                <w:rFonts w:ascii="Franklin Gothic Demi" w:eastAsia="Times New Roman" w:hAnsi="Franklin Gothic Demi" w:cs="Times New Roman"/>
                <w:color w:val="FFFFFF" w:themeColor="background1"/>
              </w:rPr>
              <w:t>DI Student Groups</w:t>
            </w:r>
          </w:p>
        </w:tc>
        <w:tc>
          <w:tcPr>
            <w:tcW w:w="1097" w:type="dxa"/>
            <w:tcBorders>
              <w:top w:val="nil"/>
              <w:left w:val="nil"/>
              <w:bottom w:val="single" w:sz="8" w:space="0" w:color="auto"/>
              <w:right w:val="single" w:sz="4" w:space="0" w:color="auto"/>
            </w:tcBorders>
            <w:shd w:val="clear" w:color="auto" w:fill="000000" w:themeFill="text1"/>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 </w:t>
            </w:r>
          </w:p>
        </w:tc>
        <w:tc>
          <w:tcPr>
            <w:tcW w:w="4240" w:type="dxa"/>
            <w:tcBorders>
              <w:top w:val="nil"/>
              <w:left w:val="nil"/>
              <w:bottom w:val="single" w:sz="8" w:space="0" w:color="auto"/>
              <w:right w:val="single" w:sz="4" w:space="0" w:color="auto"/>
            </w:tcBorders>
            <w:shd w:val="clear" w:color="auto" w:fill="000000" w:themeFill="text1"/>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 </w:t>
            </w:r>
          </w:p>
        </w:tc>
        <w:tc>
          <w:tcPr>
            <w:tcW w:w="1120" w:type="dxa"/>
            <w:tcBorders>
              <w:top w:val="nil"/>
              <w:left w:val="nil"/>
              <w:bottom w:val="single" w:sz="8" w:space="0" w:color="auto"/>
              <w:right w:val="single" w:sz="4" w:space="0" w:color="auto"/>
            </w:tcBorders>
            <w:shd w:val="clear" w:color="auto" w:fill="000000" w:themeFill="text1"/>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 </w:t>
            </w:r>
          </w:p>
        </w:tc>
        <w:tc>
          <w:tcPr>
            <w:tcW w:w="1000" w:type="dxa"/>
            <w:tcBorders>
              <w:top w:val="nil"/>
              <w:left w:val="nil"/>
              <w:bottom w:val="single" w:sz="8" w:space="0" w:color="auto"/>
              <w:right w:val="single" w:sz="4" w:space="0" w:color="auto"/>
            </w:tcBorders>
            <w:shd w:val="clear" w:color="auto" w:fill="000000" w:themeFill="text1"/>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 </w:t>
            </w:r>
          </w:p>
        </w:tc>
        <w:tc>
          <w:tcPr>
            <w:tcW w:w="1000" w:type="dxa"/>
            <w:tcBorders>
              <w:top w:val="nil"/>
              <w:left w:val="nil"/>
              <w:bottom w:val="single" w:sz="8" w:space="0" w:color="auto"/>
              <w:right w:val="single" w:sz="4" w:space="0" w:color="auto"/>
            </w:tcBorders>
            <w:shd w:val="clear" w:color="auto" w:fill="000000" w:themeFill="text1"/>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 </w:t>
            </w:r>
          </w:p>
        </w:tc>
        <w:tc>
          <w:tcPr>
            <w:tcW w:w="2440" w:type="dxa"/>
            <w:tcBorders>
              <w:top w:val="nil"/>
              <w:left w:val="nil"/>
              <w:bottom w:val="single" w:sz="8" w:space="0" w:color="auto"/>
              <w:right w:val="single" w:sz="8" w:space="0" w:color="auto"/>
            </w:tcBorders>
            <w:shd w:val="clear" w:color="auto" w:fill="000000" w:themeFill="text1"/>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 </w:t>
            </w:r>
          </w:p>
        </w:tc>
      </w:tr>
      <w:tr w:rsidR="79FC1382" w:rsidTr="59CD8032">
        <w:trPr>
          <w:trHeight w:val="315"/>
        </w:trPr>
        <w:tc>
          <w:tcPr>
            <w:tcW w:w="16537" w:type="dxa"/>
            <w:gridSpan w:val="7"/>
            <w:tcBorders>
              <w:top w:val="single" w:sz="8" w:space="0" w:color="auto"/>
              <w:left w:val="single" w:sz="8" w:space="0" w:color="auto"/>
              <w:bottom w:val="single" w:sz="4" w:space="0" w:color="auto"/>
              <w:right w:val="single" w:sz="8" w:space="0" w:color="000000" w:themeColor="text1"/>
            </w:tcBorders>
            <w:shd w:val="clear" w:color="auto" w:fill="0070C0"/>
          </w:tcPr>
          <w:p w:rsidR="79FC1382" w:rsidRDefault="79FC1382" w:rsidP="79FC1382">
            <w:pPr>
              <w:spacing w:after="0" w:line="240" w:lineRule="auto"/>
              <w:rPr>
                <w:rFonts w:ascii="Franklin Gothic Demi" w:eastAsia="Times New Roman" w:hAnsi="Franklin Gothic Demi" w:cs="Times New Roman"/>
                <w:color w:val="FFFFFF" w:themeColor="background1"/>
              </w:rPr>
            </w:pPr>
            <w:r w:rsidRPr="79FC1382">
              <w:rPr>
                <w:rFonts w:ascii="Franklin Gothic Demi" w:eastAsia="Times New Roman" w:hAnsi="Franklin Gothic Demi" w:cs="Times New Roman"/>
                <w:color w:val="FFFFFF" w:themeColor="background1"/>
              </w:rPr>
              <w:t>METRIC 1: Transfer to a Four Year Institution</w:t>
            </w:r>
          </w:p>
        </w:tc>
      </w:tr>
      <w:tr w:rsidR="79FC1382" w:rsidTr="59CD8032">
        <w:trPr>
          <w:trHeight w:val="315"/>
        </w:trPr>
        <w:tc>
          <w:tcPr>
            <w:tcW w:w="5640" w:type="dxa"/>
            <w:tcBorders>
              <w:top w:val="nil"/>
              <w:left w:val="single" w:sz="8" w:space="0" w:color="auto"/>
              <w:bottom w:val="single" w:sz="4"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1F4E78"/>
              </w:rPr>
            </w:pPr>
            <w:r w:rsidRPr="79FC1382">
              <w:rPr>
                <w:rFonts w:ascii="Franklin Gothic Demi" w:eastAsia="Times New Roman" w:hAnsi="Franklin Gothic Demi" w:cs="Times New Roman"/>
                <w:color w:val="1F4E78"/>
              </w:rPr>
              <w:t xml:space="preserve">Disabled Male </w:t>
            </w:r>
          </w:p>
        </w:tc>
        <w:tc>
          <w:tcPr>
            <w:tcW w:w="1097"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28</w:t>
            </w:r>
          </w:p>
        </w:tc>
        <w:tc>
          <w:tcPr>
            <w:tcW w:w="424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34</w:t>
            </w:r>
          </w:p>
        </w:tc>
        <w:tc>
          <w:tcPr>
            <w:tcW w:w="112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21%</w:t>
            </w:r>
          </w:p>
        </w:tc>
        <w:tc>
          <w:tcPr>
            <w:tcW w:w="100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42</w:t>
            </w:r>
          </w:p>
        </w:tc>
        <w:tc>
          <w:tcPr>
            <w:tcW w:w="100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50%</w:t>
            </w:r>
          </w:p>
        </w:tc>
        <w:tc>
          <w:tcPr>
            <w:tcW w:w="2440" w:type="dxa"/>
            <w:tcBorders>
              <w:top w:val="nil"/>
              <w:left w:val="nil"/>
              <w:bottom w:val="single" w:sz="4" w:space="0" w:color="auto"/>
              <w:right w:val="single" w:sz="8"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34</w:t>
            </w:r>
          </w:p>
        </w:tc>
      </w:tr>
      <w:tr w:rsidR="79FC1382" w:rsidTr="59CD8032">
        <w:trPr>
          <w:trHeight w:val="315"/>
        </w:trPr>
        <w:tc>
          <w:tcPr>
            <w:tcW w:w="5640" w:type="dxa"/>
            <w:tcBorders>
              <w:top w:val="nil"/>
              <w:left w:val="single" w:sz="8" w:space="0" w:color="auto"/>
              <w:bottom w:val="single" w:sz="4"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1F4E78"/>
              </w:rPr>
            </w:pPr>
            <w:r w:rsidRPr="79FC1382">
              <w:rPr>
                <w:rFonts w:ascii="Franklin Gothic Demi" w:eastAsia="Times New Roman" w:hAnsi="Franklin Gothic Demi" w:cs="Times New Roman"/>
                <w:color w:val="1F4E78"/>
              </w:rPr>
              <w:t>Some other race  Female</w:t>
            </w:r>
          </w:p>
        </w:tc>
        <w:tc>
          <w:tcPr>
            <w:tcW w:w="1097"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23</w:t>
            </w:r>
          </w:p>
        </w:tc>
        <w:tc>
          <w:tcPr>
            <w:tcW w:w="424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24</w:t>
            </w:r>
          </w:p>
        </w:tc>
        <w:tc>
          <w:tcPr>
            <w:tcW w:w="112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4%</w:t>
            </w:r>
          </w:p>
        </w:tc>
        <w:tc>
          <w:tcPr>
            <w:tcW w:w="100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30</w:t>
            </w:r>
          </w:p>
        </w:tc>
        <w:tc>
          <w:tcPr>
            <w:tcW w:w="100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30%</w:t>
            </w:r>
          </w:p>
        </w:tc>
        <w:tc>
          <w:tcPr>
            <w:tcW w:w="2440" w:type="dxa"/>
            <w:tcBorders>
              <w:top w:val="nil"/>
              <w:left w:val="nil"/>
              <w:bottom w:val="single" w:sz="4" w:space="0" w:color="auto"/>
              <w:right w:val="single" w:sz="8"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24</w:t>
            </w:r>
          </w:p>
        </w:tc>
      </w:tr>
      <w:tr w:rsidR="79FC1382" w:rsidTr="59CD8032">
        <w:trPr>
          <w:trHeight w:val="315"/>
        </w:trPr>
        <w:tc>
          <w:tcPr>
            <w:tcW w:w="5640" w:type="dxa"/>
            <w:tcBorders>
              <w:top w:val="nil"/>
              <w:left w:val="single" w:sz="8" w:space="0" w:color="auto"/>
              <w:bottom w:val="single" w:sz="4"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1F4E78"/>
              </w:rPr>
            </w:pPr>
            <w:r w:rsidRPr="79FC1382">
              <w:rPr>
                <w:rFonts w:ascii="Franklin Gothic Demi" w:eastAsia="Times New Roman" w:hAnsi="Franklin Gothic Demi" w:cs="Times New Roman"/>
                <w:color w:val="1F4E78"/>
              </w:rPr>
              <w:t>Black or African American Male</w:t>
            </w:r>
          </w:p>
        </w:tc>
        <w:tc>
          <w:tcPr>
            <w:tcW w:w="1097"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53</w:t>
            </w:r>
          </w:p>
        </w:tc>
        <w:tc>
          <w:tcPr>
            <w:tcW w:w="424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60</w:t>
            </w:r>
          </w:p>
        </w:tc>
        <w:tc>
          <w:tcPr>
            <w:tcW w:w="112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13%</w:t>
            </w:r>
          </w:p>
        </w:tc>
        <w:tc>
          <w:tcPr>
            <w:tcW w:w="100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74</w:t>
            </w:r>
          </w:p>
        </w:tc>
        <w:tc>
          <w:tcPr>
            <w:tcW w:w="100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40%</w:t>
            </w:r>
          </w:p>
        </w:tc>
        <w:tc>
          <w:tcPr>
            <w:tcW w:w="2440" w:type="dxa"/>
            <w:tcBorders>
              <w:top w:val="nil"/>
              <w:left w:val="nil"/>
              <w:bottom w:val="single" w:sz="4" w:space="0" w:color="auto"/>
              <w:right w:val="single" w:sz="8"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60</w:t>
            </w:r>
          </w:p>
        </w:tc>
      </w:tr>
      <w:tr w:rsidR="79FC1382" w:rsidTr="59CD8032">
        <w:trPr>
          <w:trHeight w:val="315"/>
        </w:trPr>
        <w:tc>
          <w:tcPr>
            <w:tcW w:w="5640" w:type="dxa"/>
            <w:tcBorders>
              <w:top w:val="nil"/>
              <w:left w:val="single" w:sz="8" w:space="0" w:color="auto"/>
              <w:bottom w:val="single" w:sz="4"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1F4E78"/>
              </w:rPr>
            </w:pPr>
            <w:r w:rsidRPr="79FC1382">
              <w:rPr>
                <w:rFonts w:ascii="Franklin Gothic Demi" w:eastAsia="Times New Roman" w:hAnsi="Franklin Gothic Demi" w:cs="Times New Roman"/>
                <w:color w:val="1F4E78"/>
              </w:rPr>
              <w:t>Some other race Male</w:t>
            </w:r>
          </w:p>
        </w:tc>
        <w:tc>
          <w:tcPr>
            <w:tcW w:w="1097"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13</w:t>
            </w:r>
          </w:p>
        </w:tc>
        <w:tc>
          <w:tcPr>
            <w:tcW w:w="424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17</w:t>
            </w:r>
          </w:p>
        </w:tc>
        <w:tc>
          <w:tcPr>
            <w:tcW w:w="112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31%</w:t>
            </w:r>
          </w:p>
        </w:tc>
        <w:tc>
          <w:tcPr>
            <w:tcW w:w="100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21</w:t>
            </w:r>
          </w:p>
        </w:tc>
        <w:tc>
          <w:tcPr>
            <w:tcW w:w="100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62%</w:t>
            </w:r>
          </w:p>
        </w:tc>
        <w:tc>
          <w:tcPr>
            <w:tcW w:w="2440" w:type="dxa"/>
            <w:tcBorders>
              <w:top w:val="nil"/>
              <w:left w:val="nil"/>
              <w:bottom w:val="single" w:sz="4" w:space="0" w:color="auto"/>
              <w:right w:val="single" w:sz="8"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17</w:t>
            </w:r>
          </w:p>
        </w:tc>
      </w:tr>
      <w:tr w:rsidR="79FC1382" w:rsidTr="59CD8032">
        <w:trPr>
          <w:trHeight w:val="330"/>
        </w:trPr>
        <w:tc>
          <w:tcPr>
            <w:tcW w:w="5640" w:type="dxa"/>
            <w:tcBorders>
              <w:top w:val="nil"/>
              <w:left w:val="single" w:sz="8" w:space="0" w:color="auto"/>
              <w:bottom w:val="single" w:sz="8"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1F4E78"/>
              </w:rPr>
            </w:pPr>
            <w:r w:rsidRPr="79FC1382">
              <w:rPr>
                <w:rFonts w:ascii="Franklin Gothic Demi" w:eastAsia="Times New Roman" w:hAnsi="Franklin Gothic Demi" w:cs="Times New Roman"/>
                <w:color w:val="1F4E78"/>
              </w:rPr>
              <w:t>LGBT Male</w:t>
            </w:r>
          </w:p>
        </w:tc>
        <w:tc>
          <w:tcPr>
            <w:tcW w:w="1097" w:type="dxa"/>
            <w:tcBorders>
              <w:top w:val="nil"/>
              <w:left w:val="nil"/>
              <w:bottom w:val="single" w:sz="8"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10</w:t>
            </w:r>
          </w:p>
        </w:tc>
        <w:tc>
          <w:tcPr>
            <w:tcW w:w="4240" w:type="dxa"/>
            <w:tcBorders>
              <w:top w:val="nil"/>
              <w:left w:val="nil"/>
              <w:bottom w:val="single" w:sz="8"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14</w:t>
            </w:r>
          </w:p>
        </w:tc>
        <w:tc>
          <w:tcPr>
            <w:tcW w:w="1120" w:type="dxa"/>
            <w:tcBorders>
              <w:top w:val="nil"/>
              <w:left w:val="nil"/>
              <w:bottom w:val="single" w:sz="8"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40%</w:t>
            </w:r>
          </w:p>
        </w:tc>
        <w:tc>
          <w:tcPr>
            <w:tcW w:w="1000" w:type="dxa"/>
            <w:tcBorders>
              <w:top w:val="nil"/>
              <w:left w:val="nil"/>
              <w:bottom w:val="single" w:sz="8"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17</w:t>
            </w:r>
          </w:p>
        </w:tc>
        <w:tc>
          <w:tcPr>
            <w:tcW w:w="1000" w:type="dxa"/>
            <w:tcBorders>
              <w:top w:val="nil"/>
              <w:left w:val="nil"/>
              <w:bottom w:val="single" w:sz="8"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70%</w:t>
            </w:r>
          </w:p>
        </w:tc>
        <w:tc>
          <w:tcPr>
            <w:tcW w:w="2440" w:type="dxa"/>
            <w:tcBorders>
              <w:top w:val="nil"/>
              <w:left w:val="nil"/>
              <w:bottom w:val="single" w:sz="8" w:space="0" w:color="auto"/>
              <w:right w:val="single" w:sz="8"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14</w:t>
            </w:r>
          </w:p>
        </w:tc>
      </w:tr>
      <w:tr w:rsidR="79FC1382" w:rsidTr="59CD8032">
        <w:trPr>
          <w:trHeight w:val="315"/>
        </w:trPr>
        <w:tc>
          <w:tcPr>
            <w:tcW w:w="16537" w:type="dxa"/>
            <w:gridSpan w:val="7"/>
            <w:tcBorders>
              <w:top w:val="single" w:sz="8" w:space="0" w:color="auto"/>
              <w:left w:val="single" w:sz="8" w:space="0" w:color="auto"/>
              <w:bottom w:val="single" w:sz="4" w:space="0" w:color="auto"/>
              <w:right w:val="single" w:sz="8" w:space="0" w:color="000000" w:themeColor="text1"/>
            </w:tcBorders>
            <w:shd w:val="clear" w:color="auto" w:fill="0070C0"/>
          </w:tcPr>
          <w:p w:rsidR="79FC1382" w:rsidRDefault="79FC1382" w:rsidP="79FC1382">
            <w:pPr>
              <w:spacing w:after="0" w:line="240" w:lineRule="auto"/>
              <w:rPr>
                <w:rFonts w:ascii="Franklin Gothic Demi" w:eastAsia="Times New Roman" w:hAnsi="Franklin Gothic Demi" w:cs="Times New Roman"/>
                <w:color w:val="FFFFFF" w:themeColor="background1"/>
              </w:rPr>
            </w:pPr>
            <w:r w:rsidRPr="79FC1382">
              <w:rPr>
                <w:rFonts w:ascii="Franklin Gothic Demi" w:eastAsia="Times New Roman" w:hAnsi="Franklin Gothic Demi" w:cs="Times New Roman"/>
                <w:color w:val="FFFFFF" w:themeColor="background1"/>
              </w:rPr>
              <w:t>METRIC 2: Enrolled in the same Community College</w:t>
            </w:r>
          </w:p>
        </w:tc>
      </w:tr>
      <w:tr w:rsidR="79FC1382" w:rsidTr="59CD8032">
        <w:trPr>
          <w:trHeight w:val="315"/>
        </w:trPr>
        <w:tc>
          <w:tcPr>
            <w:tcW w:w="5640" w:type="dxa"/>
            <w:tcBorders>
              <w:top w:val="nil"/>
              <w:left w:val="single" w:sz="8" w:space="0" w:color="auto"/>
              <w:bottom w:val="single" w:sz="4"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1F4E78"/>
              </w:rPr>
            </w:pPr>
            <w:r w:rsidRPr="79FC1382">
              <w:rPr>
                <w:rFonts w:ascii="Franklin Gothic Demi" w:eastAsia="Times New Roman" w:hAnsi="Franklin Gothic Demi" w:cs="Times New Roman"/>
                <w:color w:val="1F4E78"/>
              </w:rPr>
              <w:t>Black or African American Female</w:t>
            </w:r>
          </w:p>
        </w:tc>
        <w:tc>
          <w:tcPr>
            <w:tcW w:w="1097"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661</w:t>
            </w:r>
          </w:p>
        </w:tc>
        <w:tc>
          <w:tcPr>
            <w:tcW w:w="424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681</w:t>
            </w:r>
          </w:p>
        </w:tc>
        <w:tc>
          <w:tcPr>
            <w:tcW w:w="112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3%</w:t>
            </w:r>
          </w:p>
        </w:tc>
        <w:tc>
          <w:tcPr>
            <w:tcW w:w="100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724</w:t>
            </w:r>
          </w:p>
        </w:tc>
        <w:tc>
          <w:tcPr>
            <w:tcW w:w="100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10%</w:t>
            </w:r>
          </w:p>
        </w:tc>
        <w:tc>
          <w:tcPr>
            <w:tcW w:w="2440" w:type="dxa"/>
            <w:tcBorders>
              <w:top w:val="nil"/>
              <w:left w:val="nil"/>
              <w:bottom w:val="single" w:sz="4" w:space="0" w:color="auto"/>
              <w:right w:val="single" w:sz="8"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681</w:t>
            </w:r>
          </w:p>
        </w:tc>
      </w:tr>
      <w:tr w:rsidR="79FC1382" w:rsidTr="59CD8032">
        <w:trPr>
          <w:trHeight w:val="315"/>
        </w:trPr>
        <w:tc>
          <w:tcPr>
            <w:tcW w:w="5640" w:type="dxa"/>
            <w:tcBorders>
              <w:top w:val="nil"/>
              <w:left w:val="single" w:sz="8" w:space="0" w:color="auto"/>
              <w:bottom w:val="single" w:sz="4"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1F4E78"/>
              </w:rPr>
            </w:pPr>
            <w:r w:rsidRPr="79FC1382">
              <w:rPr>
                <w:rFonts w:ascii="Franklin Gothic Demi" w:eastAsia="Times New Roman" w:hAnsi="Franklin Gothic Demi" w:cs="Times New Roman"/>
                <w:color w:val="1F4E78"/>
              </w:rPr>
              <w:t>American Indian or Alaska Native Female</w:t>
            </w:r>
          </w:p>
        </w:tc>
        <w:tc>
          <w:tcPr>
            <w:tcW w:w="1097"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18</w:t>
            </w:r>
          </w:p>
        </w:tc>
        <w:tc>
          <w:tcPr>
            <w:tcW w:w="424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25</w:t>
            </w:r>
          </w:p>
        </w:tc>
        <w:tc>
          <w:tcPr>
            <w:tcW w:w="112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39%</w:t>
            </w:r>
          </w:p>
        </w:tc>
        <w:tc>
          <w:tcPr>
            <w:tcW w:w="100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27</w:t>
            </w:r>
          </w:p>
        </w:tc>
        <w:tc>
          <w:tcPr>
            <w:tcW w:w="100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50%</w:t>
            </w:r>
          </w:p>
        </w:tc>
        <w:tc>
          <w:tcPr>
            <w:tcW w:w="2440" w:type="dxa"/>
            <w:tcBorders>
              <w:top w:val="nil"/>
              <w:left w:val="nil"/>
              <w:bottom w:val="single" w:sz="4" w:space="0" w:color="auto"/>
              <w:right w:val="single" w:sz="8"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25</w:t>
            </w:r>
          </w:p>
        </w:tc>
      </w:tr>
      <w:tr w:rsidR="79FC1382" w:rsidTr="59CD8032">
        <w:trPr>
          <w:trHeight w:val="315"/>
        </w:trPr>
        <w:tc>
          <w:tcPr>
            <w:tcW w:w="5640" w:type="dxa"/>
            <w:tcBorders>
              <w:top w:val="nil"/>
              <w:left w:val="single" w:sz="8" w:space="0" w:color="auto"/>
              <w:bottom w:val="single" w:sz="4"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1F4E78"/>
              </w:rPr>
            </w:pPr>
            <w:r w:rsidRPr="79FC1382">
              <w:rPr>
                <w:rFonts w:ascii="Franklin Gothic Demi" w:eastAsia="Times New Roman" w:hAnsi="Franklin Gothic Demi" w:cs="Times New Roman"/>
                <w:color w:val="1F4E78"/>
              </w:rPr>
              <w:t>Asian Male</w:t>
            </w:r>
          </w:p>
        </w:tc>
        <w:tc>
          <w:tcPr>
            <w:tcW w:w="1097"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768</w:t>
            </w:r>
          </w:p>
        </w:tc>
        <w:tc>
          <w:tcPr>
            <w:tcW w:w="424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889</w:t>
            </w:r>
          </w:p>
        </w:tc>
        <w:tc>
          <w:tcPr>
            <w:tcW w:w="112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16%</w:t>
            </w:r>
          </w:p>
        </w:tc>
        <w:tc>
          <w:tcPr>
            <w:tcW w:w="100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944</w:t>
            </w:r>
          </w:p>
        </w:tc>
        <w:tc>
          <w:tcPr>
            <w:tcW w:w="100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23%</w:t>
            </w:r>
          </w:p>
        </w:tc>
        <w:tc>
          <w:tcPr>
            <w:tcW w:w="2440" w:type="dxa"/>
            <w:tcBorders>
              <w:top w:val="nil"/>
              <w:left w:val="nil"/>
              <w:bottom w:val="single" w:sz="4" w:space="0" w:color="auto"/>
              <w:right w:val="single" w:sz="8"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889</w:t>
            </w:r>
          </w:p>
        </w:tc>
      </w:tr>
      <w:tr w:rsidR="79FC1382" w:rsidTr="59CD8032">
        <w:trPr>
          <w:trHeight w:val="330"/>
        </w:trPr>
        <w:tc>
          <w:tcPr>
            <w:tcW w:w="5640" w:type="dxa"/>
            <w:tcBorders>
              <w:top w:val="nil"/>
              <w:left w:val="single" w:sz="8" w:space="0" w:color="auto"/>
              <w:bottom w:val="single" w:sz="8"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1F4E78"/>
              </w:rPr>
            </w:pPr>
            <w:r w:rsidRPr="79FC1382">
              <w:rPr>
                <w:rFonts w:ascii="Franklin Gothic Demi" w:eastAsia="Times New Roman" w:hAnsi="Franklin Gothic Demi" w:cs="Times New Roman"/>
                <w:color w:val="1F4E78"/>
              </w:rPr>
              <w:t>Foster Youth Female</w:t>
            </w:r>
          </w:p>
        </w:tc>
        <w:tc>
          <w:tcPr>
            <w:tcW w:w="1097" w:type="dxa"/>
            <w:tcBorders>
              <w:top w:val="nil"/>
              <w:left w:val="nil"/>
              <w:bottom w:val="single" w:sz="8"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66</w:t>
            </w:r>
          </w:p>
        </w:tc>
        <w:tc>
          <w:tcPr>
            <w:tcW w:w="4240" w:type="dxa"/>
            <w:tcBorders>
              <w:top w:val="nil"/>
              <w:left w:val="nil"/>
              <w:bottom w:val="single" w:sz="8"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78</w:t>
            </w:r>
          </w:p>
        </w:tc>
        <w:tc>
          <w:tcPr>
            <w:tcW w:w="1120" w:type="dxa"/>
            <w:tcBorders>
              <w:top w:val="nil"/>
              <w:left w:val="nil"/>
              <w:bottom w:val="single" w:sz="8"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18%</w:t>
            </w:r>
          </w:p>
        </w:tc>
        <w:tc>
          <w:tcPr>
            <w:tcW w:w="1000" w:type="dxa"/>
            <w:tcBorders>
              <w:top w:val="nil"/>
              <w:left w:val="nil"/>
              <w:bottom w:val="single" w:sz="8"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83</w:t>
            </w:r>
          </w:p>
        </w:tc>
        <w:tc>
          <w:tcPr>
            <w:tcW w:w="1000" w:type="dxa"/>
            <w:tcBorders>
              <w:top w:val="nil"/>
              <w:left w:val="nil"/>
              <w:bottom w:val="single" w:sz="8"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26%</w:t>
            </w:r>
          </w:p>
        </w:tc>
        <w:tc>
          <w:tcPr>
            <w:tcW w:w="2440" w:type="dxa"/>
            <w:tcBorders>
              <w:top w:val="nil"/>
              <w:left w:val="nil"/>
              <w:bottom w:val="single" w:sz="8" w:space="0" w:color="auto"/>
              <w:right w:val="single" w:sz="8"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78</w:t>
            </w:r>
          </w:p>
        </w:tc>
      </w:tr>
      <w:tr w:rsidR="79FC1382" w:rsidTr="59CD8032">
        <w:trPr>
          <w:trHeight w:val="315"/>
        </w:trPr>
        <w:tc>
          <w:tcPr>
            <w:tcW w:w="16537" w:type="dxa"/>
            <w:gridSpan w:val="7"/>
            <w:tcBorders>
              <w:top w:val="single" w:sz="8" w:space="0" w:color="auto"/>
              <w:left w:val="single" w:sz="8" w:space="0" w:color="auto"/>
              <w:bottom w:val="single" w:sz="4" w:space="0" w:color="auto"/>
              <w:right w:val="single" w:sz="8" w:space="0" w:color="000000" w:themeColor="text1"/>
            </w:tcBorders>
            <w:shd w:val="clear" w:color="auto" w:fill="0070C0"/>
          </w:tcPr>
          <w:p w:rsidR="79FC1382" w:rsidRDefault="79FC1382" w:rsidP="79FC1382">
            <w:pPr>
              <w:spacing w:after="0" w:line="240" w:lineRule="auto"/>
              <w:rPr>
                <w:rFonts w:ascii="Franklin Gothic Demi" w:eastAsia="Times New Roman" w:hAnsi="Franklin Gothic Demi" w:cs="Times New Roman"/>
                <w:color w:val="FFFFFF" w:themeColor="background1"/>
              </w:rPr>
            </w:pPr>
            <w:r w:rsidRPr="79FC1382">
              <w:rPr>
                <w:rFonts w:ascii="Franklin Gothic Demi" w:eastAsia="Times New Roman" w:hAnsi="Franklin Gothic Demi" w:cs="Times New Roman"/>
                <w:color w:val="FFFFFF" w:themeColor="background1"/>
              </w:rPr>
              <w:t>METRIC 3: Retained from Fall to Spring at the same college</w:t>
            </w:r>
          </w:p>
        </w:tc>
      </w:tr>
      <w:tr w:rsidR="79FC1382" w:rsidTr="59CD8032">
        <w:trPr>
          <w:trHeight w:val="315"/>
        </w:trPr>
        <w:tc>
          <w:tcPr>
            <w:tcW w:w="5640" w:type="dxa"/>
            <w:tcBorders>
              <w:top w:val="nil"/>
              <w:left w:val="single" w:sz="8" w:space="0" w:color="auto"/>
              <w:bottom w:val="single" w:sz="4"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1F4E78"/>
              </w:rPr>
            </w:pPr>
            <w:r w:rsidRPr="79FC1382">
              <w:rPr>
                <w:rFonts w:ascii="Franklin Gothic Demi" w:eastAsia="Times New Roman" w:hAnsi="Franklin Gothic Demi" w:cs="Times New Roman"/>
                <w:color w:val="1F4E78"/>
              </w:rPr>
              <w:t>Disable Female</w:t>
            </w:r>
          </w:p>
        </w:tc>
        <w:tc>
          <w:tcPr>
            <w:tcW w:w="1097"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134</w:t>
            </w:r>
          </w:p>
        </w:tc>
        <w:tc>
          <w:tcPr>
            <w:tcW w:w="424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153</w:t>
            </w:r>
          </w:p>
        </w:tc>
        <w:tc>
          <w:tcPr>
            <w:tcW w:w="112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14%</w:t>
            </w:r>
          </w:p>
        </w:tc>
        <w:tc>
          <w:tcPr>
            <w:tcW w:w="100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158</w:t>
            </w:r>
          </w:p>
        </w:tc>
        <w:tc>
          <w:tcPr>
            <w:tcW w:w="100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18%</w:t>
            </w:r>
          </w:p>
        </w:tc>
        <w:tc>
          <w:tcPr>
            <w:tcW w:w="2440" w:type="dxa"/>
            <w:tcBorders>
              <w:top w:val="nil"/>
              <w:left w:val="nil"/>
              <w:bottom w:val="single" w:sz="4" w:space="0" w:color="auto"/>
              <w:right w:val="single" w:sz="8"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153</w:t>
            </w:r>
          </w:p>
        </w:tc>
      </w:tr>
      <w:tr w:rsidR="79FC1382" w:rsidTr="59CD8032">
        <w:trPr>
          <w:trHeight w:val="315"/>
        </w:trPr>
        <w:tc>
          <w:tcPr>
            <w:tcW w:w="5640" w:type="dxa"/>
            <w:tcBorders>
              <w:top w:val="nil"/>
              <w:left w:val="single" w:sz="8" w:space="0" w:color="auto"/>
              <w:bottom w:val="single" w:sz="4"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1F4E78"/>
              </w:rPr>
            </w:pPr>
            <w:r w:rsidRPr="79FC1382">
              <w:rPr>
                <w:rFonts w:ascii="Franklin Gothic Demi" w:eastAsia="Times New Roman" w:hAnsi="Franklin Gothic Demi" w:cs="Times New Roman"/>
                <w:color w:val="1F4E78"/>
              </w:rPr>
              <w:t>Economically Disadvantaged Female</w:t>
            </w:r>
          </w:p>
        </w:tc>
        <w:tc>
          <w:tcPr>
            <w:tcW w:w="1097"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1285</w:t>
            </w:r>
          </w:p>
        </w:tc>
        <w:tc>
          <w:tcPr>
            <w:tcW w:w="424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1318</w:t>
            </w:r>
          </w:p>
        </w:tc>
        <w:tc>
          <w:tcPr>
            <w:tcW w:w="112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3%</w:t>
            </w:r>
          </w:p>
        </w:tc>
        <w:tc>
          <w:tcPr>
            <w:tcW w:w="100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1366</w:t>
            </w:r>
          </w:p>
        </w:tc>
        <w:tc>
          <w:tcPr>
            <w:tcW w:w="100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6%</w:t>
            </w:r>
          </w:p>
        </w:tc>
        <w:tc>
          <w:tcPr>
            <w:tcW w:w="2440" w:type="dxa"/>
            <w:tcBorders>
              <w:top w:val="nil"/>
              <w:left w:val="nil"/>
              <w:bottom w:val="single" w:sz="4" w:space="0" w:color="auto"/>
              <w:right w:val="single" w:sz="8"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1318</w:t>
            </w:r>
          </w:p>
        </w:tc>
      </w:tr>
      <w:tr w:rsidR="79FC1382" w:rsidTr="59CD8032">
        <w:trPr>
          <w:trHeight w:val="315"/>
        </w:trPr>
        <w:tc>
          <w:tcPr>
            <w:tcW w:w="5640" w:type="dxa"/>
            <w:tcBorders>
              <w:top w:val="nil"/>
              <w:left w:val="single" w:sz="8" w:space="0" w:color="auto"/>
              <w:bottom w:val="single" w:sz="4"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1F4E78"/>
              </w:rPr>
            </w:pPr>
            <w:r w:rsidRPr="79FC1382">
              <w:rPr>
                <w:rFonts w:ascii="Franklin Gothic Demi" w:eastAsia="Times New Roman" w:hAnsi="Franklin Gothic Demi" w:cs="Times New Roman"/>
                <w:color w:val="1F4E78"/>
              </w:rPr>
              <w:t>White Female</w:t>
            </w:r>
          </w:p>
        </w:tc>
        <w:tc>
          <w:tcPr>
            <w:tcW w:w="1097"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392</w:t>
            </w:r>
          </w:p>
        </w:tc>
        <w:tc>
          <w:tcPr>
            <w:tcW w:w="424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409</w:t>
            </w:r>
          </w:p>
        </w:tc>
        <w:tc>
          <w:tcPr>
            <w:tcW w:w="112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4%</w:t>
            </w:r>
          </w:p>
        </w:tc>
        <w:tc>
          <w:tcPr>
            <w:tcW w:w="100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425</w:t>
            </w:r>
          </w:p>
        </w:tc>
        <w:tc>
          <w:tcPr>
            <w:tcW w:w="100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8%</w:t>
            </w:r>
          </w:p>
        </w:tc>
        <w:tc>
          <w:tcPr>
            <w:tcW w:w="2440" w:type="dxa"/>
            <w:tcBorders>
              <w:top w:val="nil"/>
              <w:left w:val="nil"/>
              <w:bottom w:val="single" w:sz="4" w:space="0" w:color="auto"/>
              <w:right w:val="single" w:sz="8"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409</w:t>
            </w:r>
          </w:p>
        </w:tc>
      </w:tr>
      <w:tr w:rsidR="79FC1382" w:rsidTr="59CD8032">
        <w:trPr>
          <w:trHeight w:val="315"/>
        </w:trPr>
        <w:tc>
          <w:tcPr>
            <w:tcW w:w="5640" w:type="dxa"/>
            <w:tcBorders>
              <w:top w:val="nil"/>
              <w:left w:val="single" w:sz="8" w:space="0" w:color="auto"/>
              <w:bottom w:val="single" w:sz="4"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1F4E78"/>
              </w:rPr>
            </w:pPr>
            <w:r w:rsidRPr="79FC1382">
              <w:rPr>
                <w:rFonts w:ascii="Franklin Gothic Demi" w:eastAsia="Times New Roman" w:hAnsi="Franklin Gothic Demi" w:cs="Times New Roman"/>
                <w:color w:val="1F4E78"/>
              </w:rPr>
              <w:t>Black or African American Female</w:t>
            </w:r>
          </w:p>
        </w:tc>
        <w:tc>
          <w:tcPr>
            <w:tcW w:w="1097"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230</w:t>
            </w:r>
          </w:p>
        </w:tc>
        <w:tc>
          <w:tcPr>
            <w:tcW w:w="424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276</w:t>
            </w:r>
          </w:p>
        </w:tc>
        <w:tc>
          <w:tcPr>
            <w:tcW w:w="112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20%</w:t>
            </w:r>
          </w:p>
        </w:tc>
        <w:tc>
          <w:tcPr>
            <w:tcW w:w="100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286</w:t>
            </w:r>
          </w:p>
        </w:tc>
        <w:tc>
          <w:tcPr>
            <w:tcW w:w="100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24%</w:t>
            </w:r>
          </w:p>
        </w:tc>
        <w:tc>
          <w:tcPr>
            <w:tcW w:w="2440" w:type="dxa"/>
            <w:tcBorders>
              <w:top w:val="nil"/>
              <w:left w:val="nil"/>
              <w:bottom w:val="single" w:sz="4" w:space="0" w:color="auto"/>
              <w:right w:val="single" w:sz="8"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276</w:t>
            </w:r>
          </w:p>
        </w:tc>
      </w:tr>
      <w:tr w:rsidR="79FC1382" w:rsidTr="59CD8032">
        <w:trPr>
          <w:trHeight w:val="330"/>
        </w:trPr>
        <w:tc>
          <w:tcPr>
            <w:tcW w:w="5640" w:type="dxa"/>
            <w:tcBorders>
              <w:top w:val="nil"/>
              <w:left w:val="single" w:sz="8" w:space="0" w:color="auto"/>
              <w:bottom w:val="single" w:sz="8"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1F4E78"/>
              </w:rPr>
            </w:pPr>
            <w:r w:rsidRPr="79FC1382">
              <w:rPr>
                <w:rFonts w:ascii="Franklin Gothic Demi" w:eastAsia="Times New Roman" w:hAnsi="Franklin Gothic Demi" w:cs="Times New Roman"/>
                <w:color w:val="1F4E78"/>
              </w:rPr>
              <w:t>Some other race Female</w:t>
            </w:r>
          </w:p>
        </w:tc>
        <w:tc>
          <w:tcPr>
            <w:tcW w:w="1097" w:type="dxa"/>
            <w:tcBorders>
              <w:top w:val="nil"/>
              <w:left w:val="nil"/>
              <w:bottom w:val="single" w:sz="8"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65</w:t>
            </w:r>
          </w:p>
        </w:tc>
        <w:tc>
          <w:tcPr>
            <w:tcW w:w="4240" w:type="dxa"/>
            <w:tcBorders>
              <w:top w:val="nil"/>
              <w:left w:val="nil"/>
              <w:bottom w:val="single" w:sz="8"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78</w:t>
            </w:r>
          </w:p>
        </w:tc>
        <w:tc>
          <w:tcPr>
            <w:tcW w:w="1120" w:type="dxa"/>
            <w:tcBorders>
              <w:top w:val="nil"/>
              <w:left w:val="nil"/>
              <w:bottom w:val="single" w:sz="8"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20%</w:t>
            </w:r>
          </w:p>
        </w:tc>
        <w:tc>
          <w:tcPr>
            <w:tcW w:w="1000" w:type="dxa"/>
            <w:tcBorders>
              <w:top w:val="nil"/>
              <w:left w:val="nil"/>
              <w:bottom w:val="single" w:sz="8"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81</w:t>
            </w:r>
          </w:p>
        </w:tc>
        <w:tc>
          <w:tcPr>
            <w:tcW w:w="1000" w:type="dxa"/>
            <w:tcBorders>
              <w:top w:val="nil"/>
              <w:left w:val="nil"/>
              <w:bottom w:val="single" w:sz="8"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25%</w:t>
            </w:r>
          </w:p>
        </w:tc>
        <w:tc>
          <w:tcPr>
            <w:tcW w:w="2440" w:type="dxa"/>
            <w:tcBorders>
              <w:top w:val="nil"/>
              <w:left w:val="nil"/>
              <w:bottom w:val="single" w:sz="8" w:space="0" w:color="auto"/>
              <w:right w:val="single" w:sz="8"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78</w:t>
            </w:r>
          </w:p>
        </w:tc>
      </w:tr>
      <w:tr w:rsidR="79FC1382" w:rsidTr="59CD8032">
        <w:trPr>
          <w:trHeight w:val="315"/>
        </w:trPr>
        <w:tc>
          <w:tcPr>
            <w:tcW w:w="5640" w:type="dxa"/>
            <w:tcBorders>
              <w:top w:val="nil"/>
              <w:left w:val="single" w:sz="8" w:space="0" w:color="auto"/>
              <w:bottom w:val="single" w:sz="4" w:space="0" w:color="auto"/>
              <w:right w:val="single" w:sz="4" w:space="0" w:color="auto"/>
            </w:tcBorders>
            <w:shd w:val="clear" w:color="auto" w:fill="0070C0"/>
          </w:tcPr>
          <w:p w:rsidR="79FC1382" w:rsidRDefault="79FC1382" w:rsidP="79FC1382">
            <w:pPr>
              <w:spacing w:after="0" w:line="240" w:lineRule="auto"/>
              <w:rPr>
                <w:rFonts w:ascii="Franklin Gothic Demi" w:eastAsia="Times New Roman" w:hAnsi="Franklin Gothic Demi" w:cs="Times New Roman"/>
                <w:color w:val="FFFFFF" w:themeColor="background1"/>
              </w:rPr>
            </w:pPr>
            <w:r w:rsidRPr="79FC1382">
              <w:rPr>
                <w:rFonts w:ascii="Franklin Gothic Demi" w:eastAsia="Times New Roman" w:hAnsi="Franklin Gothic Demi" w:cs="Times New Roman"/>
                <w:color w:val="FFFFFF" w:themeColor="background1"/>
              </w:rPr>
              <w:lastRenderedPageBreak/>
              <w:t>METRIC 4: Completed Both Transfer-Level Math and English within the District in the First Year (number is smaller than 10)</w:t>
            </w:r>
          </w:p>
        </w:tc>
        <w:tc>
          <w:tcPr>
            <w:tcW w:w="1097" w:type="dxa"/>
            <w:tcBorders>
              <w:top w:val="nil"/>
              <w:left w:val="nil"/>
              <w:bottom w:val="single" w:sz="4" w:space="0" w:color="auto"/>
              <w:right w:val="single" w:sz="4" w:space="0" w:color="auto"/>
            </w:tcBorders>
            <w:shd w:val="clear" w:color="auto" w:fill="0070C0"/>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 </w:t>
            </w:r>
          </w:p>
        </w:tc>
        <w:tc>
          <w:tcPr>
            <w:tcW w:w="4240" w:type="dxa"/>
            <w:tcBorders>
              <w:top w:val="nil"/>
              <w:left w:val="nil"/>
              <w:bottom w:val="single" w:sz="4" w:space="0" w:color="auto"/>
              <w:right w:val="single" w:sz="4" w:space="0" w:color="auto"/>
            </w:tcBorders>
            <w:shd w:val="clear" w:color="auto" w:fill="0070C0"/>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 </w:t>
            </w:r>
          </w:p>
        </w:tc>
        <w:tc>
          <w:tcPr>
            <w:tcW w:w="1120" w:type="dxa"/>
            <w:tcBorders>
              <w:top w:val="nil"/>
              <w:left w:val="nil"/>
              <w:bottom w:val="single" w:sz="4" w:space="0" w:color="auto"/>
              <w:right w:val="single" w:sz="4" w:space="0" w:color="auto"/>
            </w:tcBorders>
            <w:shd w:val="clear" w:color="auto" w:fill="0070C0"/>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 </w:t>
            </w:r>
          </w:p>
        </w:tc>
        <w:tc>
          <w:tcPr>
            <w:tcW w:w="1000" w:type="dxa"/>
            <w:tcBorders>
              <w:top w:val="nil"/>
              <w:left w:val="nil"/>
              <w:bottom w:val="single" w:sz="4" w:space="0" w:color="auto"/>
              <w:right w:val="single" w:sz="4" w:space="0" w:color="auto"/>
            </w:tcBorders>
            <w:shd w:val="clear" w:color="auto" w:fill="0070C0"/>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 </w:t>
            </w:r>
          </w:p>
        </w:tc>
        <w:tc>
          <w:tcPr>
            <w:tcW w:w="1000" w:type="dxa"/>
            <w:tcBorders>
              <w:top w:val="nil"/>
              <w:left w:val="nil"/>
              <w:bottom w:val="single" w:sz="4" w:space="0" w:color="auto"/>
              <w:right w:val="single" w:sz="4" w:space="0" w:color="auto"/>
            </w:tcBorders>
            <w:shd w:val="clear" w:color="auto" w:fill="0070C0"/>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 </w:t>
            </w:r>
          </w:p>
        </w:tc>
        <w:tc>
          <w:tcPr>
            <w:tcW w:w="2440" w:type="dxa"/>
            <w:tcBorders>
              <w:top w:val="nil"/>
              <w:left w:val="nil"/>
              <w:bottom w:val="single" w:sz="4" w:space="0" w:color="auto"/>
              <w:right w:val="single" w:sz="8" w:space="0" w:color="auto"/>
            </w:tcBorders>
            <w:shd w:val="clear" w:color="auto" w:fill="0070C0"/>
          </w:tcPr>
          <w:p w:rsidR="79FC1382" w:rsidRDefault="79FC1382" w:rsidP="79FC1382">
            <w:pPr>
              <w:spacing w:after="0" w:line="240" w:lineRule="auto"/>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 </w:t>
            </w:r>
          </w:p>
        </w:tc>
      </w:tr>
      <w:tr w:rsidR="79FC1382" w:rsidTr="59CD8032">
        <w:trPr>
          <w:trHeight w:val="315"/>
        </w:trPr>
        <w:tc>
          <w:tcPr>
            <w:tcW w:w="5640" w:type="dxa"/>
            <w:tcBorders>
              <w:top w:val="nil"/>
              <w:left w:val="single" w:sz="8" w:space="0" w:color="auto"/>
              <w:bottom w:val="single" w:sz="4"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1F4E78"/>
              </w:rPr>
            </w:pPr>
            <w:r w:rsidRPr="79FC1382">
              <w:rPr>
                <w:rFonts w:ascii="Franklin Gothic Demi" w:eastAsia="Times New Roman" w:hAnsi="Franklin Gothic Demi" w:cs="Times New Roman"/>
                <w:color w:val="1F4E78"/>
              </w:rPr>
              <w:t>Black or African American Female</w:t>
            </w:r>
          </w:p>
        </w:tc>
        <w:tc>
          <w:tcPr>
            <w:tcW w:w="1097"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25</w:t>
            </w:r>
          </w:p>
        </w:tc>
        <w:tc>
          <w:tcPr>
            <w:tcW w:w="424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29</w:t>
            </w:r>
          </w:p>
        </w:tc>
        <w:tc>
          <w:tcPr>
            <w:tcW w:w="112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16%</w:t>
            </w:r>
          </w:p>
        </w:tc>
        <w:tc>
          <w:tcPr>
            <w:tcW w:w="100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36</w:t>
            </w:r>
          </w:p>
        </w:tc>
        <w:tc>
          <w:tcPr>
            <w:tcW w:w="100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44%</w:t>
            </w:r>
          </w:p>
        </w:tc>
        <w:tc>
          <w:tcPr>
            <w:tcW w:w="2440" w:type="dxa"/>
            <w:tcBorders>
              <w:top w:val="nil"/>
              <w:left w:val="nil"/>
              <w:bottom w:val="single" w:sz="4" w:space="0" w:color="auto"/>
              <w:right w:val="single" w:sz="8"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29</w:t>
            </w:r>
          </w:p>
        </w:tc>
      </w:tr>
      <w:tr w:rsidR="79FC1382" w:rsidTr="59CD8032">
        <w:trPr>
          <w:trHeight w:val="315"/>
        </w:trPr>
        <w:tc>
          <w:tcPr>
            <w:tcW w:w="5640" w:type="dxa"/>
            <w:tcBorders>
              <w:top w:val="nil"/>
              <w:left w:val="single" w:sz="8" w:space="0" w:color="auto"/>
              <w:bottom w:val="single" w:sz="4"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1F4E78"/>
              </w:rPr>
            </w:pPr>
            <w:r w:rsidRPr="79FC1382">
              <w:rPr>
                <w:rFonts w:ascii="Franklin Gothic Demi" w:eastAsia="Times New Roman" w:hAnsi="Franklin Gothic Demi" w:cs="Times New Roman"/>
                <w:color w:val="1F4E78"/>
              </w:rPr>
              <w:t>Hispanic or Latino Male</w:t>
            </w:r>
          </w:p>
        </w:tc>
        <w:tc>
          <w:tcPr>
            <w:tcW w:w="1097"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23</w:t>
            </w:r>
          </w:p>
        </w:tc>
        <w:tc>
          <w:tcPr>
            <w:tcW w:w="424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27</w:t>
            </w:r>
          </w:p>
        </w:tc>
        <w:tc>
          <w:tcPr>
            <w:tcW w:w="112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17%</w:t>
            </w:r>
          </w:p>
        </w:tc>
        <w:tc>
          <w:tcPr>
            <w:tcW w:w="1000" w:type="dxa"/>
            <w:tcBorders>
              <w:top w:val="nil"/>
              <w:left w:val="nil"/>
              <w:bottom w:val="single" w:sz="4"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34</w:t>
            </w:r>
          </w:p>
        </w:tc>
        <w:tc>
          <w:tcPr>
            <w:tcW w:w="1000" w:type="dxa"/>
            <w:tcBorders>
              <w:top w:val="nil"/>
              <w:left w:val="nil"/>
              <w:bottom w:val="single" w:sz="4"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48%</w:t>
            </w:r>
          </w:p>
        </w:tc>
        <w:tc>
          <w:tcPr>
            <w:tcW w:w="2440" w:type="dxa"/>
            <w:tcBorders>
              <w:top w:val="nil"/>
              <w:left w:val="nil"/>
              <w:bottom w:val="single" w:sz="4" w:space="0" w:color="auto"/>
              <w:right w:val="single" w:sz="8"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27</w:t>
            </w:r>
          </w:p>
        </w:tc>
      </w:tr>
      <w:tr w:rsidR="79FC1382" w:rsidTr="59CD8032">
        <w:trPr>
          <w:trHeight w:val="330"/>
        </w:trPr>
        <w:tc>
          <w:tcPr>
            <w:tcW w:w="5640" w:type="dxa"/>
            <w:tcBorders>
              <w:top w:val="nil"/>
              <w:left w:val="single" w:sz="8" w:space="0" w:color="auto"/>
              <w:bottom w:val="single" w:sz="8" w:space="0" w:color="auto"/>
              <w:right w:val="single" w:sz="4" w:space="0" w:color="auto"/>
            </w:tcBorders>
            <w:shd w:val="clear" w:color="auto" w:fill="auto"/>
          </w:tcPr>
          <w:p w:rsidR="79FC1382" w:rsidRDefault="79FC1382" w:rsidP="79FC1382">
            <w:pPr>
              <w:spacing w:after="0" w:line="240" w:lineRule="auto"/>
              <w:rPr>
                <w:rFonts w:ascii="Franklin Gothic Demi" w:eastAsia="Times New Roman" w:hAnsi="Franklin Gothic Demi" w:cs="Times New Roman"/>
                <w:color w:val="1F4E78"/>
              </w:rPr>
            </w:pPr>
            <w:r w:rsidRPr="79FC1382">
              <w:rPr>
                <w:rFonts w:ascii="Franklin Gothic Demi" w:eastAsia="Times New Roman" w:hAnsi="Franklin Gothic Demi" w:cs="Times New Roman"/>
                <w:color w:val="1F4E78"/>
              </w:rPr>
              <w:t>Black or African American Male</w:t>
            </w:r>
          </w:p>
        </w:tc>
        <w:tc>
          <w:tcPr>
            <w:tcW w:w="1097" w:type="dxa"/>
            <w:tcBorders>
              <w:top w:val="nil"/>
              <w:left w:val="nil"/>
              <w:bottom w:val="single" w:sz="8"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13</w:t>
            </w:r>
          </w:p>
        </w:tc>
        <w:tc>
          <w:tcPr>
            <w:tcW w:w="4240" w:type="dxa"/>
            <w:tcBorders>
              <w:top w:val="nil"/>
              <w:left w:val="nil"/>
              <w:bottom w:val="single" w:sz="8"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19</w:t>
            </w:r>
          </w:p>
        </w:tc>
        <w:tc>
          <w:tcPr>
            <w:tcW w:w="1120" w:type="dxa"/>
            <w:tcBorders>
              <w:top w:val="nil"/>
              <w:left w:val="nil"/>
              <w:bottom w:val="single" w:sz="8"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46%</w:t>
            </w:r>
          </w:p>
        </w:tc>
        <w:tc>
          <w:tcPr>
            <w:tcW w:w="1000" w:type="dxa"/>
            <w:tcBorders>
              <w:top w:val="nil"/>
              <w:left w:val="nil"/>
              <w:bottom w:val="single" w:sz="8" w:space="0" w:color="auto"/>
              <w:right w:val="single" w:sz="4"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24</w:t>
            </w:r>
          </w:p>
        </w:tc>
        <w:tc>
          <w:tcPr>
            <w:tcW w:w="1000" w:type="dxa"/>
            <w:tcBorders>
              <w:top w:val="nil"/>
              <w:left w:val="nil"/>
              <w:bottom w:val="single" w:sz="8" w:space="0" w:color="auto"/>
              <w:right w:val="single" w:sz="4" w:space="0" w:color="auto"/>
            </w:tcBorders>
            <w:shd w:val="clear" w:color="auto" w:fill="D9E1F2"/>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85%</w:t>
            </w:r>
          </w:p>
        </w:tc>
        <w:tc>
          <w:tcPr>
            <w:tcW w:w="2440" w:type="dxa"/>
            <w:tcBorders>
              <w:top w:val="nil"/>
              <w:left w:val="nil"/>
              <w:bottom w:val="single" w:sz="8" w:space="0" w:color="auto"/>
              <w:right w:val="single" w:sz="8" w:space="0" w:color="auto"/>
            </w:tcBorders>
            <w:shd w:val="clear" w:color="auto" w:fill="auto"/>
          </w:tcPr>
          <w:p w:rsidR="79FC1382" w:rsidRDefault="79FC1382" w:rsidP="79FC1382">
            <w:pPr>
              <w:spacing w:after="0" w:line="240" w:lineRule="auto"/>
              <w:jc w:val="center"/>
              <w:rPr>
                <w:rFonts w:ascii="Franklin Gothic Demi" w:eastAsia="Times New Roman" w:hAnsi="Franklin Gothic Demi" w:cs="Times New Roman"/>
                <w:color w:val="000000" w:themeColor="text1"/>
              </w:rPr>
            </w:pPr>
            <w:r w:rsidRPr="79FC1382">
              <w:rPr>
                <w:rFonts w:ascii="Franklin Gothic Demi" w:eastAsia="Times New Roman" w:hAnsi="Franklin Gothic Demi" w:cs="Times New Roman"/>
                <w:color w:val="000000" w:themeColor="text1"/>
              </w:rPr>
              <w:t>19</w:t>
            </w:r>
          </w:p>
        </w:tc>
      </w:tr>
    </w:tbl>
    <w:p w:rsidR="00F44978" w:rsidRPr="00F44978" w:rsidRDefault="79FC1382" w:rsidP="79FC1382">
      <w:pPr>
        <w:shd w:val="clear" w:color="auto" w:fill="FFFFFF" w:themeFill="background1"/>
        <w:spacing w:before="100" w:beforeAutospacing="1" w:after="100" w:afterAutospacing="1" w:line="240" w:lineRule="auto"/>
        <w:rPr>
          <w:rFonts w:ascii="Helvetica" w:eastAsia="Times New Roman" w:hAnsi="Helvetica" w:cs="Helvetica"/>
          <w:b/>
          <w:bCs/>
          <w:sz w:val="24"/>
          <w:szCs w:val="24"/>
        </w:rPr>
      </w:pPr>
      <w:r w:rsidRPr="79FC1382">
        <w:rPr>
          <w:rFonts w:ascii="Helvetica" w:eastAsia="Times New Roman" w:hAnsi="Helvetica" w:cs="Helvetica"/>
          <w:b/>
          <w:bCs/>
          <w:sz w:val="24"/>
          <w:szCs w:val="24"/>
        </w:rPr>
        <w:t>Student Equity Activities</w:t>
      </w:r>
    </w:p>
    <w:p w:rsidR="00F44978" w:rsidRPr="00F44978" w:rsidRDefault="59CD8032" w:rsidP="59CD8032">
      <w:pPr>
        <w:shd w:val="clear" w:color="auto" w:fill="FFFFFF" w:themeFill="background1"/>
        <w:spacing w:before="100" w:beforeAutospacing="1" w:after="100" w:afterAutospacing="1" w:line="240" w:lineRule="auto"/>
        <w:rPr>
          <w:rFonts w:ascii="Helvetica" w:eastAsia="Times New Roman" w:hAnsi="Helvetica" w:cs="Helvetica"/>
          <w:sz w:val="24"/>
          <w:szCs w:val="24"/>
        </w:rPr>
      </w:pPr>
      <w:r w:rsidRPr="59CD8032">
        <w:rPr>
          <w:rFonts w:ascii="Helvetica" w:eastAsia="Times New Roman" w:hAnsi="Helvetica" w:cs="Helvetica"/>
          <w:sz w:val="24"/>
          <w:szCs w:val="24"/>
        </w:rPr>
        <w:t xml:space="preserve">BCC will focus on achieving the metric goals with activities identified in the Integrated Strategic Enrollment Management Plan, Alignment of the 2022 Vision for Success and the Strategic Plan. </w:t>
      </w:r>
      <w:r w:rsidRPr="59CD8032">
        <w:rPr>
          <w:rFonts w:ascii="Helvetica" w:eastAsia="Helvetica" w:hAnsi="Helvetica" w:cs="Helvetica"/>
          <w:sz w:val="24"/>
          <w:szCs w:val="24"/>
        </w:rPr>
        <w:t>The college strives to achieve the targets identified in the Strategic Plan which overlaps with Student Equity Goals, with the following strategies:</w:t>
      </w:r>
    </w:p>
    <w:p w:rsidR="00F44978" w:rsidRPr="00F44978" w:rsidRDefault="59CD8032" w:rsidP="59CD8032">
      <w:pPr>
        <w:spacing w:before="100" w:beforeAutospacing="1" w:after="100" w:afterAutospacing="1" w:line="240" w:lineRule="auto"/>
      </w:pPr>
      <w:r w:rsidRPr="59CD8032">
        <w:rPr>
          <w:rFonts w:ascii="Helvetica" w:eastAsia="Helvetica" w:hAnsi="Helvetica" w:cs="Helvetica"/>
          <w:sz w:val="24"/>
          <w:szCs w:val="24"/>
        </w:rPr>
        <w:t xml:space="preserve">1. Utilize researched based best practices to increase student access (participation), learning, completion, and success with exemplary programs that include: </w:t>
      </w:r>
    </w:p>
    <w:p w:rsidR="00F44978" w:rsidRPr="00F44978" w:rsidRDefault="59CD8032" w:rsidP="59CD8032">
      <w:pPr>
        <w:spacing w:before="100" w:beforeAutospacing="1" w:after="100" w:afterAutospacing="1" w:line="240" w:lineRule="auto"/>
        <w:ind w:firstLine="720"/>
      </w:pPr>
      <w:r w:rsidRPr="59CD8032">
        <w:rPr>
          <w:rFonts w:ascii="Helvetica" w:eastAsia="Helvetica" w:hAnsi="Helvetica" w:cs="Helvetica"/>
          <w:sz w:val="24"/>
          <w:szCs w:val="24"/>
        </w:rPr>
        <w:t xml:space="preserve">• Utilizing previous learning experiences for placement </w:t>
      </w:r>
    </w:p>
    <w:p w:rsidR="00F44978" w:rsidRPr="00F44978" w:rsidRDefault="59CD8032" w:rsidP="59CD8032">
      <w:pPr>
        <w:spacing w:before="100" w:beforeAutospacing="1" w:after="100" w:afterAutospacing="1" w:line="240" w:lineRule="auto"/>
        <w:ind w:firstLine="720"/>
      </w:pPr>
      <w:r w:rsidRPr="59CD8032">
        <w:rPr>
          <w:rFonts w:ascii="Helvetica" w:eastAsia="Helvetica" w:hAnsi="Helvetica" w:cs="Helvetica"/>
          <w:sz w:val="24"/>
          <w:szCs w:val="24"/>
        </w:rPr>
        <w:t xml:space="preserve">• Guided exploration for undecided students </w:t>
      </w:r>
    </w:p>
    <w:p w:rsidR="00F44978" w:rsidRPr="00F44978" w:rsidRDefault="59CD8032" w:rsidP="59CD8032">
      <w:pPr>
        <w:spacing w:before="100" w:beforeAutospacing="1" w:after="100" w:afterAutospacing="1" w:line="240" w:lineRule="auto"/>
        <w:ind w:firstLine="720"/>
      </w:pPr>
      <w:r w:rsidRPr="59CD8032">
        <w:rPr>
          <w:rFonts w:ascii="Helvetica" w:eastAsia="Helvetica" w:hAnsi="Helvetica" w:cs="Helvetica"/>
          <w:sz w:val="24"/>
          <w:szCs w:val="24"/>
        </w:rPr>
        <w:t xml:space="preserve">• Clearly delineating program requirements (default course sequence) </w:t>
      </w:r>
    </w:p>
    <w:p w:rsidR="00F44978" w:rsidRPr="00F44978" w:rsidRDefault="59CD8032" w:rsidP="59CD8032">
      <w:pPr>
        <w:spacing w:before="100" w:beforeAutospacing="1" w:after="100" w:afterAutospacing="1" w:line="240" w:lineRule="auto"/>
        <w:ind w:firstLine="720"/>
      </w:pPr>
      <w:r w:rsidRPr="59CD8032">
        <w:rPr>
          <w:rFonts w:ascii="Helvetica" w:eastAsia="Helvetica" w:hAnsi="Helvetica" w:cs="Helvetica"/>
          <w:sz w:val="24"/>
          <w:szCs w:val="24"/>
        </w:rPr>
        <w:t xml:space="preserve">• Developmental education transformation </w:t>
      </w:r>
    </w:p>
    <w:p w:rsidR="00F44978" w:rsidRPr="00F44978" w:rsidRDefault="59CD8032" w:rsidP="59CD8032">
      <w:pPr>
        <w:spacing w:before="100" w:beforeAutospacing="1" w:after="100" w:afterAutospacing="1" w:line="240" w:lineRule="auto"/>
        <w:ind w:firstLine="720"/>
      </w:pPr>
      <w:r w:rsidRPr="59CD8032">
        <w:rPr>
          <w:rFonts w:ascii="Helvetica" w:eastAsia="Helvetica" w:hAnsi="Helvetica" w:cs="Helvetica"/>
          <w:sz w:val="24"/>
          <w:szCs w:val="24"/>
        </w:rPr>
        <w:t xml:space="preserve">• Providing proactive, embedded and integrated student support </w:t>
      </w:r>
    </w:p>
    <w:p w:rsidR="00F44978" w:rsidRPr="00F44978" w:rsidRDefault="59CD8032" w:rsidP="59CD8032">
      <w:pPr>
        <w:spacing w:before="100" w:beforeAutospacing="1" w:after="100" w:afterAutospacing="1" w:line="240" w:lineRule="auto"/>
        <w:ind w:firstLine="720"/>
      </w:pPr>
      <w:r w:rsidRPr="59CD8032">
        <w:rPr>
          <w:rFonts w:ascii="Helvetica" w:eastAsia="Helvetica" w:hAnsi="Helvetica" w:cs="Helvetica"/>
          <w:sz w:val="24"/>
          <w:szCs w:val="24"/>
        </w:rPr>
        <w:t xml:space="preserve">• Maximizing and enhancing learning communities </w:t>
      </w:r>
    </w:p>
    <w:p w:rsidR="00F44978" w:rsidRPr="00F44978" w:rsidRDefault="59CD8032" w:rsidP="59CD8032">
      <w:pPr>
        <w:spacing w:before="100" w:beforeAutospacing="1" w:after="100" w:afterAutospacing="1" w:line="240" w:lineRule="auto"/>
        <w:ind w:firstLine="720"/>
      </w:pPr>
      <w:r w:rsidRPr="59CD8032">
        <w:rPr>
          <w:rFonts w:ascii="Helvetica" w:eastAsia="Helvetica" w:hAnsi="Helvetica" w:cs="Helvetica"/>
          <w:sz w:val="24"/>
          <w:szCs w:val="24"/>
        </w:rPr>
        <w:t xml:space="preserve">• Increasing student engagement in support and instructional services. </w:t>
      </w:r>
    </w:p>
    <w:p w:rsidR="00F44978" w:rsidRPr="00F44978" w:rsidRDefault="59CD8032" w:rsidP="59CD8032">
      <w:pPr>
        <w:spacing w:before="100" w:beforeAutospacing="1" w:after="100" w:afterAutospacing="1" w:line="240" w:lineRule="auto"/>
      </w:pPr>
      <w:r w:rsidRPr="59CD8032">
        <w:rPr>
          <w:rFonts w:ascii="Helvetica" w:eastAsia="Helvetica" w:hAnsi="Helvetica" w:cs="Helvetica"/>
          <w:sz w:val="24"/>
          <w:szCs w:val="24"/>
        </w:rPr>
        <w:t xml:space="preserve">2. Develop integrated communities of practice aligned to the students’ educational pathways to provide more connected learning experiences inside and outside of the classroom; </w:t>
      </w:r>
    </w:p>
    <w:p w:rsidR="00F44978" w:rsidRPr="00F44978" w:rsidRDefault="59CD8032" w:rsidP="59CD8032">
      <w:pPr>
        <w:spacing w:before="100" w:beforeAutospacing="1" w:after="100" w:afterAutospacing="1" w:line="240" w:lineRule="auto"/>
      </w:pPr>
      <w:r w:rsidRPr="59CD8032">
        <w:rPr>
          <w:rFonts w:ascii="Helvetica" w:eastAsia="Helvetica" w:hAnsi="Helvetica" w:cs="Helvetica"/>
          <w:sz w:val="24"/>
          <w:szCs w:val="24"/>
        </w:rPr>
        <w:t xml:space="preserve">3. Incorporate technology tools to communicate, support and customize the student experience; </w:t>
      </w:r>
    </w:p>
    <w:p w:rsidR="00F44978" w:rsidRPr="00F44978" w:rsidRDefault="59CD8032" w:rsidP="59CD8032">
      <w:pPr>
        <w:spacing w:before="100" w:beforeAutospacing="1" w:after="100" w:afterAutospacing="1" w:line="240" w:lineRule="auto"/>
      </w:pPr>
      <w:r w:rsidRPr="59CD8032">
        <w:rPr>
          <w:rFonts w:ascii="Helvetica" w:eastAsia="Helvetica" w:hAnsi="Helvetica" w:cs="Helvetica"/>
          <w:sz w:val="24"/>
          <w:szCs w:val="24"/>
        </w:rPr>
        <w:t xml:space="preserve">4. Develop data infrastructure to track and evaluate student and program progress; </w:t>
      </w:r>
    </w:p>
    <w:p w:rsidR="00F44978" w:rsidRPr="003C424D" w:rsidRDefault="59CD8032" w:rsidP="003C424D">
      <w:pPr>
        <w:spacing w:before="100" w:beforeAutospacing="1" w:after="100" w:afterAutospacing="1" w:line="240" w:lineRule="auto"/>
      </w:pPr>
      <w:r w:rsidRPr="59CD8032">
        <w:rPr>
          <w:rFonts w:ascii="Helvetica" w:eastAsia="Helvetica" w:hAnsi="Helvetica" w:cs="Helvetica"/>
          <w:sz w:val="24"/>
          <w:szCs w:val="24"/>
        </w:rPr>
        <w:t>5. Develop mechanisms to assess the student experience to ensure quality programs and services.</w:t>
      </w:r>
      <w:bookmarkStart w:id="0" w:name="_GoBack"/>
      <w:bookmarkEnd w:id="0"/>
    </w:p>
    <w:p w:rsidR="00F44978" w:rsidRPr="00F44978" w:rsidRDefault="59CD8032" w:rsidP="59CD8032">
      <w:pPr>
        <w:shd w:val="clear" w:color="auto" w:fill="FFFFFF" w:themeFill="background1"/>
        <w:spacing w:before="100" w:beforeAutospacing="1" w:after="100" w:afterAutospacing="1" w:line="240" w:lineRule="auto"/>
        <w:rPr>
          <w:rFonts w:ascii="Helvetica" w:eastAsia="Times New Roman" w:hAnsi="Helvetica" w:cs="Helvetica"/>
          <w:sz w:val="24"/>
          <w:szCs w:val="24"/>
        </w:rPr>
      </w:pPr>
      <w:r w:rsidRPr="59CD8032">
        <w:rPr>
          <w:rFonts w:ascii="Helvetica" w:eastAsia="Helvetica" w:hAnsi="Helvetica" w:cs="Helvetica"/>
          <w:sz w:val="24"/>
          <w:szCs w:val="24"/>
        </w:rPr>
        <w:lastRenderedPageBreak/>
        <w:t xml:space="preserve"> S</w:t>
      </w:r>
      <w:r w:rsidRPr="59CD8032">
        <w:rPr>
          <w:rFonts w:ascii="Helvetica" w:eastAsia="Times New Roman" w:hAnsi="Helvetica" w:cs="Helvetica"/>
          <w:sz w:val="24"/>
          <w:szCs w:val="24"/>
        </w:rPr>
        <w:t xml:space="preserve">pecific activities geared toward achieving the student equity goals include: </w:t>
      </w:r>
    </w:p>
    <w:p w:rsidR="00F44978" w:rsidRPr="00F44978" w:rsidRDefault="59CD8032" w:rsidP="59CD8032">
      <w:pPr>
        <w:pStyle w:val="ListParagraph"/>
        <w:numPr>
          <w:ilvl w:val="0"/>
          <w:numId w:val="16"/>
        </w:numPr>
        <w:shd w:val="clear" w:color="auto" w:fill="FFFFFF" w:themeFill="background1"/>
        <w:spacing w:before="100" w:beforeAutospacing="1" w:after="100" w:afterAutospacing="1" w:line="240" w:lineRule="auto"/>
        <w:rPr>
          <w:rFonts w:ascii="Helvetica" w:eastAsia="Times New Roman" w:hAnsi="Helvetica" w:cs="Helvetica"/>
          <w:sz w:val="24"/>
          <w:szCs w:val="24"/>
        </w:rPr>
      </w:pPr>
      <w:r w:rsidRPr="59CD8032">
        <w:rPr>
          <w:rFonts w:ascii="Helvetica" w:eastAsia="Times New Roman" w:hAnsi="Helvetica" w:cs="Helvetica"/>
          <w:sz w:val="24"/>
          <w:szCs w:val="24"/>
        </w:rPr>
        <w:t>Increase enrollment of AB540, Pell and CA Promise Grant recipients</w:t>
      </w:r>
    </w:p>
    <w:p w:rsidR="00F44978" w:rsidRPr="00F44978" w:rsidRDefault="59CD8032" w:rsidP="59CD8032">
      <w:pPr>
        <w:pStyle w:val="ListParagraph"/>
        <w:numPr>
          <w:ilvl w:val="0"/>
          <w:numId w:val="16"/>
        </w:numPr>
        <w:shd w:val="clear" w:color="auto" w:fill="FFFFFF" w:themeFill="background1"/>
        <w:spacing w:before="100" w:beforeAutospacing="1" w:after="100" w:afterAutospacing="1" w:line="240" w:lineRule="auto"/>
        <w:rPr>
          <w:rFonts w:ascii="Helvetica" w:eastAsia="Times New Roman" w:hAnsi="Helvetica" w:cs="Helvetica"/>
          <w:sz w:val="24"/>
          <w:szCs w:val="24"/>
        </w:rPr>
      </w:pPr>
      <w:r w:rsidRPr="59CD8032">
        <w:rPr>
          <w:rFonts w:ascii="Helvetica" w:eastAsia="Times New Roman" w:hAnsi="Helvetica" w:cs="Helvetica"/>
          <w:sz w:val="24"/>
          <w:szCs w:val="24"/>
        </w:rPr>
        <w:t>Utilize Starfish Early Alert and Connect modules</w:t>
      </w:r>
    </w:p>
    <w:p w:rsidR="00F44978" w:rsidRPr="00F44978" w:rsidRDefault="59CD8032" w:rsidP="59CD8032">
      <w:pPr>
        <w:pStyle w:val="ListParagraph"/>
        <w:numPr>
          <w:ilvl w:val="0"/>
          <w:numId w:val="16"/>
        </w:numPr>
        <w:shd w:val="clear" w:color="auto" w:fill="FFFFFF" w:themeFill="background1"/>
        <w:spacing w:before="100" w:beforeAutospacing="1" w:after="100" w:afterAutospacing="1" w:line="240" w:lineRule="auto"/>
        <w:rPr>
          <w:rFonts w:ascii="Helvetica" w:eastAsia="Times New Roman" w:hAnsi="Helvetica" w:cs="Helvetica"/>
          <w:sz w:val="24"/>
          <w:szCs w:val="24"/>
        </w:rPr>
      </w:pPr>
      <w:r w:rsidRPr="59CD8032">
        <w:rPr>
          <w:rFonts w:ascii="Helvetica" w:eastAsia="Times New Roman" w:hAnsi="Helvetica" w:cs="Helvetica"/>
          <w:sz w:val="24"/>
          <w:szCs w:val="24"/>
        </w:rPr>
        <w:t>Utilize MyPath, Mongoose, Academic Direx (Digital Marketing System) and GovDelivery to easily communicate with students en masse</w:t>
      </w:r>
    </w:p>
    <w:p w:rsidR="00F44978" w:rsidRPr="00F44978" w:rsidRDefault="79FC1382" w:rsidP="79FC1382">
      <w:pPr>
        <w:pStyle w:val="ListParagraph"/>
        <w:numPr>
          <w:ilvl w:val="0"/>
          <w:numId w:val="16"/>
        </w:numPr>
        <w:shd w:val="clear" w:color="auto" w:fill="FFFFFF" w:themeFill="background1"/>
        <w:spacing w:before="100" w:beforeAutospacing="1" w:after="100" w:afterAutospacing="1" w:line="240" w:lineRule="auto"/>
        <w:rPr>
          <w:rFonts w:ascii="Helvetica" w:eastAsia="Times New Roman" w:hAnsi="Helvetica" w:cs="Helvetica"/>
          <w:sz w:val="24"/>
          <w:szCs w:val="24"/>
        </w:rPr>
      </w:pPr>
      <w:r w:rsidRPr="79FC1382">
        <w:rPr>
          <w:rFonts w:ascii="Helvetica" w:eastAsia="Times New Roman" w:hAnsi="Helvetica" w:cs="Helvetica"/>
          <w:sz w:val="24"/>
          <w:szCs w:val="24"/>
        </w:rPr>
        <w:t>Implement AB705 and related support classes for Math, English and ESOL</w:t>
      </w:r>
    </w:p>
    <w:p w:rsidR="00F44978" w:rsidRPr="00F44978" w:rsidRDefault="59CD8032" w:rsidP="59CD8032">
      <w:pPr>
        <w:pStyle w:val="ListParagraph"/>
        <w:numPr>
          <w:ilvl w:val="0"/>
          <w:numId w:val="16"/>
        </w:numPr>
        <w:shd w:val="clear" w:color="auto" w:fill="FFFFFF" w:themeFill="background1"/>
        <w:spacing w:before="100" w:beforeAutospacing="1" w:after="100" w:afterAutospacing="1" w:line="240" w:lineRule="auto"/>
        <w:rPr>
          <w:rFonts w:ascii="Helvetica" w:eastAsia="Times New Roman" w:hAnsi="Helvetica" w:cs="Helvetica"/>
          <w:sz w:val="24"/>
          <w:szCs w:val="24"/>
        </w:rPr>
      </w:pPr>
      <w:r w:rsidRPr="59CD8032">
        <w:rPr>
          <w:rFonts w:ascii="Helvetica" w:eastAsia="Times New Roman" w:hAnsi="Helvetica" w:cs="Helvetica"/>
          <w:sz w:val="24"/>
          <w:szCs w:val="24"/>
        </w:rPr>
        <w:t>Implement and maintain PeopleSoft Degree Audit and automated degree conferral functions</w:t>
      </w:r>
    </w:p>
    <w:p w:rsidR="00F44978" w:rsidRPr="00F44978" w:rsidRDefault="59CD8032" w:rsidP="59CD8032">
      <w:pPr>
        <w:pStyle w:val="ListParagraph"/>
        <w:numPr>
          <w:ilvl w:val="0"/>
          <w:numId w:val="16"/>
        </w:numPr>
        <w:shd w:val="clear" w:color="auto" w:fill="FFFFFF" w:themeFill="background1"/>
        <w:spacing w:before="100" w:beforeAutospacing="1" w:after="100" w:afterAutospacing="1" w:line="240" w:lineRule="auto"/>
        <w:rPr>
          <w:rFonts w:ascii="Helvetica" w:eastAsia="Times New Roman" w:hAnsi="Helvetica" w:cs="Helvetica"/>
          <w:sz w:val="24"/>
          <w:szCs w:val="24"/>
        </w:rPr>
      </w:pPr>
      <w:r w:rsidRPr="59CD8032">
        <w:rPr>
          <w:rFonts w:ascii="Helvetica" w:eastAsia="Times New Roman" w:hAnsi="Helvetica" w:cs="Helvetica"/>
          <w:sz w:val="24"/>
          <w:szCs w:val="24"/>
        </w:rPr>
        <w:t>Develop TAG agreements with four-year Historically Black Colleges and Universities, Hispanic Serving Institutions and Asian American and Native American Pacific Islander serving institutions</w:t>
      </w:r>
    </w:p>
    <w:p w:rsidR="73A68994" w:rsidRDefault="59CD8032" w:rsidP="59CD8032">
      <w:pPr>
        <w:pStyle w:val="ListParagraph"/>
        <w:numPr>
          <w:ilvl w:val="0"/>
          <w:numId w:val="16"/>
        </w:numPr>
        <w:shd w:val="clear" w:color="auto" w:fill="FFFFFF" w:themeFill="background1"/>
        <w:spacing w:beforeAutospacing="1" w:afterAutospacing="1" w:line="240" w:lineRule="auto"/>
        <w:rPr>
          <w:sz w:val="24"/>
          <w:szCs w:val="24"/>
        </w:rPr>
      </w:pPr>
      <w:r w:rsidRPr="59CD8032">
        <w:rPr>
          <w:rFonts w:ascii="Helvetica" w:eastAsia="Times New Roman" w:hAnsi="Helvetica" w:cs="Helvetica"/>
          <w:sz w:val="24"/>
          <w:szCs w:val="24"/>
        </w:rPr>
        <w:t>Expand ethnic studies and the learning communities with greater transfer and career support</w:t>
      </w:r>
    </w:p>
    <w:p w:rsidR="73A68994" w:rsidRDefault="59CD8032" w:rsidP="59CD8032">
      <w:pPr>
        <w:pStyle w:val="ListParagraph"/>
        <w:numPr>
          <w:ilvl w:val="0"/>
          <w:numId w:val="16"/>
        </w:numPr>
        <w:shd w:val="clear" w:color="auto" w:fill="FFFFFF" w:themeFill="background1"/>
        <w:spacing w:beforeAutospacing="1" w:afterAutospacing="1" w:line="240" w:lineRule="auto"/>
        <w:rPr>
          <w:sz w:val="24"/>
          <w:szCs w:val="24"/>
        </w:rPr>
      </w:pPr>
      <w:r w:rsidRPr="59CD8032">
        <w:rPr>
          <w:rFonts w:ascii="Helvetica" w:eastAsia="Times New Roman" w:hAnsi="Helvetica" w:cs="Helvetica"/>
          <w:sz w:val="24"/>
          <w:szCs w:val="24"/>
        </w:rPr>
        <w:t>Increase professional development across the disciplines focused on culturally responsive curricula</w:t>
      </w:r>
    </w:p>
    <w:p w:rsidR="73A68994" w:rsidRDefault="59CD8032" w:rsidP="59CD8032">
      <w:pPr>
        <w:pStyle w:val="ListParagraph"/>
        <w:numPr>
          <w:ilvl w:val="0"/>
          <w:numId w:val="16"/>
        </w:numPr>
        <w:shd w:val="clear" w:color="auto" w:fill="FFFFFF" w:themeFill="background1"/>
        <w:spacing w:beforeAutospacing="1" w:afterAutospacing="1" w:line="240" w:lineRule="auto"/>
        <w:rPr>
          <w:sz w:val="24"/>
          <w:szCs w:val="24"/>
        </w:rPr>
      </w:pPr>
      <w:r w:rsidRPr="59CD8032">
        <w:rPr>
          <w:rFonts w:ascii="Helvetica" w:eastAsia="Times New Roman" w:hAnsi="Helvetica" w:cs="Helvetica"/>
          <w:sz w:val="24"/>
          <w:szCs w:val="24"/>
        </w:rPr>
        <w:t>Implement embedded counseling and tutoring support</w:t>
      </w:r>
    </w:p>
    <w:p w:rsidR="59CD8032" w:rsidRPr="003C424D" w:rsidRDefault="59CD8032" w:rsidP="59CD8032">
      <w:pPr>
        <w:pStyle w:val="ListParagraph"/>
        <w:numPr>
          <w:ilvl w:val="0"/>
          <w:numId w:val="16"/>
        </w:numPr>
        <w:shd w:val="clear" w:color="auto" w:fill="FFFFFF" w:themeFill="background1"/>
        <w:spacing w:beforeAutospacing="1" w:afterAutospacing="1" w:line="240" w:lineRule="auto"/>
        <w:rPr>
          <w:sz w:val="24"/>
          <w:szCs w:val="24"/>
        </w:rPr>
      </w:pPr>
      <w:r w:rsidRPr="59CD8032">
        <w:rPr>
          <w:rFonts w:ascii="Helvetica" w:eastAsia="Times New Roman" w:hAnsi="Helvetica" w:cs="Helvetica"/>
          <w:sz w:val="24"/>
          <w:szCs w:val="24"/>
        </w:rPr>
        <w:t xml:space="preserve">Implement a peer mentor program with student ambassadors, Veterans, EOPS, DSPS, UCRC and NextUp </w:t>
      </w:r>
    </w:p>
    <w:p w:rsidR="59CD8032" w:rsidRDefault="59CD8032" w:rsidP="003C424D">
      <w:pPr>
        <w:shd w:val="clear" w:color="auto" w:fill="FFFFFF" w:themeFill="background1"/>
        <w:spacing w:before="100" w:beforeAutospacing="1" w:after="100" w:afterAutospacing="1" w:line="240" w:lineRule="auto"/>
        <w:rPr>
          <w:rFonts w:ascii="Helvetica" w:eastAsia="Times New Roman" w:hAnsi="Helvetica" w:cs="Helvetica"/>
          <w:sz w:val="24"/>
          <w:szCs w:val="24"/>
        </w:rPr>
      </w:pPr>
      <w:r w:rsidRPr="59CD8032">
        <w:rPr>
          <w:rFonts w:ascii="Helvetica" w:eastAsia="Times New Roman" w:hAnsi="Helvetica" w:cs="Helvetica"/>
          <w:sz w:val="24"/>
          <w:szCs w:val="24"/>
        </w:rPr>
        <w:t>In addition to the activities identified in the Integrated Strategic Enrollment Management Plan and the Strategic Plan, the college will need to identify more targeted activities to reach the metric goals set. For example, to increase transfer to a four-year institution for male students with disabilities, HS outreach needs to target this population, students need to connect with disability support services at key transfer institutions to ensure a smooth transition from BCC. Similarly, to reach the transfer goal for Black or African American, Foster Youth, Filipino and LGBT students targeted activities such as career advising, counseling, embedded tutoring, connections with key transfer institutions and peer mentors will be necessary for each group. In Table 2 below, the Student Equity baseline data from 17-18, the current goals and activities are shown.</w:t>
      </w:r>
    </w:p>
    <w:p w:rsidR="003C424D" w:rsidRDefault="003C424D" w:rsidP="79FC1382">
      <w:pPr>
        <w:spacing w:before="100" w:beforeAutospacing="1" w:after="100" w:afterAutospacing="1" w:line="240" w:lineRule="auto"/>
        <w:rPr>
          <w:rFonts w:ascii="Helvetica" w:eastAsia="Helvetica" w:hAnsi="Helvetica" w:cs="Helvetica"/>
          <w:b/>
          <w:bCs/>
          <w:sz w:val="24"/>
          <w:szCs w:val="24"/>
        </w:rPr>
      </w:pPr>
    </w:p>
    <w:p w:rsidR="003C424D" w:rsidRDefault="003C424D" w:rsidP="79FC1382">
      <w:pPr>
        <w:spacing w:before="100" w:beforeAutospacing="1" w:after="100" w:afterAutospacing="1" w:line="240" w:lineRule="auto"/>
        <w:rPr>
          <w:rFonts w:ascii="Helvetica" w:eastAsia="Helvetica" w:hAnsi="Helvetica" w:cs="Helvetica"/>
          <w:b/>
          <w:bCs/>
          <w:sz w:val="24"/>
          <w:szCs w:val="24"/>
        </w:rPr>
      </w:pPr>
    </w:p>
    <w:p w:rsidR="00F44978" w:rsidRPr="00F44978" w:rsidRDefault="79FC1382" w:rsidP="79FC1382">
      <w:pPr>
        <w:spacing w:before="100" w:beforeAutospacing="1" w:after="100" w:afterAutospacing="1" w:line="240" w:lineRule="auto"/>
      </w:pPr>
      <w:r w:rsidRPr="79FC1382">
        <w:rPr>
          <w:rFonts w:ascii="Helvetica" w:eastAsia="Helvetica" w:hAnsi="Helvetica" w:cs="Helvetica"/>
          <w:b/>
          <w:bCs/>
          <w:sz w:val="24"/>
          <w:szCs w:val="24"/>
        </w:rPr>
        <w:t>Goals and Activities for Overall Student Population</w:t>
      </w:r>
    </w:p>
    <w:tbl>
      <w:tblPr>
        <w:tblStyle w:val="TableGrid"/>
        <w:tblW w:w="0" w:type="auto"/>
        <w:tblLayout w:type="fixed"/>
        <w:tblLook w:val="04A0" w:firstRow="1" w:lastRow="0" w:firstColumn="1" w:lastColumn="0" w:noHBand="0" w:noVBand="1"/>
      </w:tblPr>
      <w:tblGrid>
        <w:gridCol w:w="2340"/>
        <w:gridCol w:w="1560"/>
        <w:gridCol w:w="1140"/>
        <w:gridCol w:w="4320"/>
      </w:tblGrid>
      <w:tr w:rsidR="79FC1382" w:rsidTr="59CD8032">
        <w:tc>
          <w:tcPr>
            <w:tcW w:w="2340" w:type="dxa"/>
          </w:tcPr>
          <w:p w:rsidR="79FC1382" w:rsidRDefault="79FC1382">
            <w:r w:rsidRPr="79FC1382">
              <w:rPr>
                <w:rFonts w:ascii="Helvetica" w:eastAsia="Helvetica" w:hAnsi="Helvetica" w:cs="Helvetica"/>
                <w:b/>
                <w:bCs/>
                <w:sz w:val="24"/>
                <w:szCs w:val="24"/>
              </w:rPr>
              <w:t>Metric</w:t>
            </w:r>
          </w:p>
        </w:tc>
        <w:tc>
          <w:tcPr>
            <w:tcW w:w="1560" w:type="dxa"/>
          </w:tcPr>
          <w:p w:rsidR="79FC1382" w:rsidRDefault="79FC1382">
            <w:r w:rsidRPr="79FC1382">
              <w:rPr>
                <w:rFonts w:ascii="Helvetica" w:eastAsia="Helvetica" w:hAnsi="Helvetica" w:cs="Helvetica"/>
                <w:b/>
                <w:bCs/>
                <w:sz w:val="24"/>
                <w:szCs w:val="24"/>
              </w:rPr>
              <w:t xml:space="preserve">Overall  </w:t>
            </w:r>
          </w:p>
          <w:p w:rsidR="79FC1382" w:rsidRDefault="79FC1382">
            <w:r w:rsidRPr="79FC1382">
              <w:rPr>
                <w:rFonts w:ascii="Helvetica" w:eastAsia="Helvetica" w:hAnsi="Helvetica" w:cs="Helvetica"/>
                <w:b/>
                <w:bCs/>
                <w:sz w:val="24"/>
                <w:szCs w:val="24"/>
              </w:rPr>
              <w:t>2017-18 Baseline</w:t>
            </w:r>
          </w:p>
        </w:tc>
        <w:tc>
          <w:tcPr>
            <w:tcW w:w="1140" w:type="dxa"/>
          </w:tcPr>
          <w:p w:rsidR="79FC1382" w:rsidRDefault="79FC1382">
            <w:r w:rsidRPr="79FC1382">
              <w:rPr>
                <w:rFonts w:ascii="Helvetica" w:eastAsia="Helvetica" w:hAnsi="Helvetica" w:cs="Helvetica"/>
                <w:b/>
                <w:bCs/>
                <w:sz w:val="24"/>
                <w:szCs w:val="24"/>
              </w:rPr>
              <w:t>Goals</w:t>
            </w:r>
          </w:p>
        </w:tc>
        <w:tc>
          <w:tcPr>
            <w:tcW w:w="4320" w:type="dxa"/>
          </w:tcPr>
          <w:p w:rsidR="79FC1382" w:rsidRDefault="73A68994">
            <w:r w:rsidRPr="73A68994">
              <w:rPr>
                <w:rFonts w:ascii="Helvetica" w:eastAsia="Helvetica" w:hAnsi="Helvetica" w:cs="Helvetica"/>
                <w:b/>
                <w:bCs/>
                <w:sz w:val="24"/>
                <w:szCs w:val="24"/>
              </w:rPr>
              <w:t xml:space="preserve">Activities  </w:t>
            </w:r>
          </w:p>
        </w:tc>
      </w:tr>
      <w:tr w:rsidR="79FC1382" w:rsidTr="59CD8032">
        <w:tc>
          <w:tcPr>
            <w:tcW w:w="2340" w:type="dxa"/>
          </w:tcPr>
          <w:p w:rsidR="79FC1382" w:rsidRDefault="79FC1382">
            <w:r w:rsidRPr="79FC1382">
              <w:rPr>
                <w:rFonts w:ascii="Helvetica" w:eastAsia="Helvetica" w:hAnsi="Helvetica" w:cs="Helvetica"/>
                <w:b/>
                <w:bCs/>
                <w:sz w:val="24"/>
                <w:szCs w:val="24"/>
              </w:rPr>
              <w:t>Transfer to a Four-Year Institution</w:t>
            </w:r>
          </w:p>
        </w:tc>
        <w:tc>
          <w:tcPr>
            <w:tcW w:w="1560" w:type="dxa"/>
          </w:tcPr>
          <w:p w:rsidR="79FC1382" w:rsidRDefault="79FC1382">
            <w:r w:rsidRPr="79FC1382">
              <w:rPr>
                <w:rFonts w:ascii="Helvetica" w:eastAsia="Helvetica" w:hAnsi="Helvetica" w:cs="Helvetica"/>
                <w:sz w:val="24"/>
                <w:szCs w:val="24"/>
              </w:rPr>
              <w:t>1036</w:t>
            </w:r>
          </w:p>
        </w:tc>
        <w:tc>
          <w:tcPr>
            <w:tcW w:w="1140" w:type="dxa"/>
          </w:tcPr>
          <w:p w:rsidR="79FC1382" w:rsidRDefault="79FC1382">
            <w:r w:rsidRPr="79FC1382">
              <w:rPr>
                <w:rFonts w:ascii="Helvetica" w:eastAsia="Helvetica" w:hAnsi="Helvetica" w:cs="Helvetica"/>
                <w:sz w:val="24"/>
                <w:szCs w:val="24"/>
              </w:rPr>
              <w:t>1098 (increase by 6%)</w:t>
            </w:r>
          </w:p>
        </w:tc>
        <w:tc>
          <w:tcPr>
            <w:tcW w:w="4320" w:type="dxa"/>
          </w:tcPr>
          <w:p w:rsidR="79FC1382" w:rsidRDefault="79FC1382" w:rsidP="79FC1382">
            <w:pPr>
              <w:pStyle w:val="ListParagraph"/>
              <w:numPr>
                <w:ilvl w:val="0"/>
                <w:numId w:val="6"/>
              </w:numPr>
            </w:pPr>
            <w:r>
              <w:t>Strengthen partnership with 4 years institutions and develop TAG agreements with private institutions and HBCU</w:t>
            </w:r>
          </w:p>
          <w:p w:rsidR="79FC1382" w:rsidRDefault="79FC1382" w:rsidP="79FC1382">
            <w:pPr>
              <w:pStyle w:val="ListParagraph"/>
              <w:numPr>
                <w:ilvl w:val="0"/>
                <w:numId w:val="6"/>
              </w:numPr>
            </w:pPr>
            <w:r>
              <w:t xml:space="preserve">Career Exploration for students with undecided major </w:t>
            </w:r>
          </w:p>
          <w:p w:rsidR="79FC1382" w:rsidRDefault="59CD8032" w:rsidP="59CD8032">
            <w:pPr>
              <w:pStyle w:val="ListParagraph"/>
              <w:numPr>
                <w:ilvl w:val="0"/>
                <w:numId w:val="6"/>
              </w:numPr>
            </w:pPr>
            <w:r>
              <w:lastRenderedPageBreak/>
              <w:t>Increase transfer and TAP/ TAG workshops</w:t>
            </w:r>
          </w:p>
          <w:p w:rsidR="79FC1382" w:rsidRDefault="79FC1382" w:rsidP="79FC1382">
            <w:pPr>
              <w:pStyle w:val="ListParagraph"/>
              <w:numPr>
                <w:ilvl w:val="0"/>
                <w:numId w:val="6"/>
              </w:numPr>
            </w:pPr>
            <w:r>
              <w:t xml:space="preserve">Encourage students to complete ADT </w:t>
            </w:r>
          </w:p>
          <w:p w:rsidR="79FC1382" w:rsidRDefault="79FC1382" w:rsidP="79FC1382">
            <w:pPr>
              <w:pStyle w:val="ListParagraph"/>
              <w:numPr>
                <w:ilvl w:val="0"/>
                <w:numId w:val="6"/>
              </w:numPr>
            </w:pPr>
            <w:r>
              <w:t>Increase ADT programs at BCC  6) Ensure development of comprehensive SEP for ALL students</w:t>
            </w:r>
          </w:p>
          <w:p w:rsidR="79FC1382" w:rsidRDefault="79FC1382" w:rsidP="79FC1382">
            <w:pPr>
              <w:pStyle w:val="ListParagraph"/>
              <w:numPr>
                <w:ilvl w:val="0"/>
                <w:numId w:val="6"/>
              </w:numPr>
            </w:pPr>
            <w:r>
              <w:t xml:space="preserve">Strengthen Guided Pathway - moving through and moving out </w:t>
            </w:r>
          </w:p>
          <w:p w:rsidR="79FC1382" w:rsidRDefault="79FC1382" w:rsidP="79FC1382">
            <w:pPr>
              <w:pStyle w:val="ListParagraph"/>
              <w:numPr>
                <w:ilvl w:val="0"/>
                <w:numId w:val="6"/>
              </w:numPr>
            </w:pPr>
            <w:r>
              <w:t xml:space="preserve">Expand Cross Enrollment with other 4 years institutions in addition to UCB, CSUEB, and Mills </w:t>
            </w:r>
          </w:p>
          <w:p w:rsidR="79FC1382" w:rsidRDefault="79FC1382" w:rsidP="79FC1382">
            <w:pPr>
              <w:pStyle w:val="ListParagraph"/>
              <w:numPr>
                <w:ilvl w:val="0"/>
                <w:numId w:val="6"/>
              </w:numPr>
            </w:pPr>
            <w:r>
              <w:t xml:space="preserve">Continue with the college transfer fair </w:t>
            </w:r>
          </w:p>
          <w:p w:rsidR="79FC1382" w:rsidRDefault="79FC1382" w:rsidP="79FC1382">
            <w:pPr>
              <w:pStyle w:val="ListParagraph"/>
              <w:numPr>
                <w:ilvl w:val="0"/>
                <w:numId w:val="6"/>
              </w:numPr>
            </w:pPr>
            <w:r>
              <w:t>Encourage and support faculty to explore non-traditional and culturally relevant pedagogy (GP)</w:t>
            </w:r>
          </w:p>
          <w:p w:rsidR="79FC1382" w:rsidRDefault="79FC1382">
            <w:r w:rsidRPr="79FC1382">
              <w:rPr>
                <w:rFonts w:ascii="Helvetica" w:eastAsia="Helvetica" w:hAnsi="Helvetica" w:cs="Helvetica"/>
                <w:b/>
                <w:bCs/>
                <w:sz w:val="24"/>
                <w:szCs w:val="24"/>
              </w:rPr>
              <w:t xml:space="preserve"> </w:t>
            </w:r>
          </w:p>
        </w:tc>
      </w:tr>
      <w:tr w:rsidR="79FC1382" w:rsidTr="59CD8032">
        <w:tc>
          <w:tcPr>
            <w:tcW w:w="2340" w:type="dxa"/>
          </w:tcPr>
          <w:p w:rsidR="79FC1382" w:rsidRDefault="73A68994">
            <w:r w:rsidRPr="73A68994">
              <w:rPr>
                <w:rFonts w:ascii="Helvetica" w:eastAsia="Helvetica" w:hAnsi="Helvetica" w:cs="Helvetica"/>
                <w:b/>
                <w:bCs/>
                <w:sz w:val="24"/>
                <w:szCs w:val="24"/>
              </w:rPr>
              <w:lastRenderedPageBreak/>
              <w:t>Attained the Vision Goal Completion Definition</w:t>
            </w:r>
          </w:p>
        </w:tc>
        <w:tc>
          <w:tcPr>
            <w:tcW w:w="1560" w:type="dxa"/>
          </w:tcPr>
          <w:p w:rsidR="79FC1382" w:rsidRDefault="79FC1382">
            <w:r w:rsidRPr="79FC1382">
              <w:rPr>
                <w:rFonts w:ascii="Helvetica" w:eastAsia="Helvetica" w:hAnsi="Helvetica" w:cs="Helvetica"/>
                <w:sz w:val="24"/>
                <w:szCs w:val="24"/>
              </w:rPr>
              <w:t>350</w:t>
            </w:r>
          </w:p>
        </w:tc>
        <w:tc>
          <w:tcPr>
            <w:tcW w:w="1140" w:type="dxa"/>
          </w:tcPr>
          <w:p w:rsidR="79FC1382" w:rsidRDefault="79FC1382">
            <w:r w:rsidRPr="79FC1382">
              <w:rPr>
                <w:rFonts w:ascii="Helvetica" w:eastAsia="Helvetica" w:hAnsi="Helvetica" w:cs="Helvetica"/>
                <w:sz w:val="24"/>
                <w:szCs w:val="24"/>
              </w:rPr>
              <w:t>385 (increase by 10%)</w:t>
            </w:r>
          </w:p>
        </w:tc>
        <w:tc>
          <w:tcPr>
            <w:tcW w:w="4320" w:type="dxa"/>
          </w:tcPr>
          <w:p w:rsidR="79FC1382" w:rsidRDefault="59CD8032" w:rsidP="59CD8032">
            <w:pPr>
              <w:pStyle w:val="ListParagraph"/>
              <w:numPr>
                <w:ilvl w:val="0"/>
                <w:numId w:val="5"/>
              </w:numPr>
            </w:pPr>
            <w:r>
              <w:t>Maintain and implement PeopleSoft Degree Audit and Conferral</w:t>
            </w:r>
          </w:p>
          <w:p w:rsidR="79FC1382" w:rsidRDefault="79FC1382" w:rsidP="79FC1382">
            <w:pPr>
              <w:pStyle w:val="ListParagraph"/>
              <w:numPr>
                <w:ilvl w:val="0"/>
                <w:numId w:val="5"/>
              </w:numPr>
            </w:pPr>
            <w:r>
              <w:t xml:space="preserve">Comprehensive SEP for ALL students by the end of the first semester </w:t>
            </w:r>
          </w:p>
          <w:p w:rsidR="79FC1382" w:rsidRDefault="79FC1382" w:rsidP="79FC1382">
            <w:pPr>
              <w:pStyle w:val="ListParagraph"/>
              <w:numPr>
                <w:ilvl w:val="0"/>
                <w:numId w:val="5"/>
              </w:numPr>
            </w:pPr>
            <w:r>
              <w:t xml:space="preserve">Provide career exploration and assistance to students with undecided major - expand the use of ROAD TRIP NATIONS. </w:t>
            </w:r>
          </w:p>
          <w:p w:rsidR="79FC1382" w:rsidRDefault="73A68994" w:rsidP="73A68994">
            <w:pPr>
              <w:pStyle w:val="ListParagraph"/>
              <w:numPr>
                <w:ilvl w:val="0"/>
                <w:numId w:val="5"/>
              </w:numPr>
            </w:pPr>
            <w:r>
              <w:t>Improve sequenced course offerings, analyze block scheduling to maximize facilities, reduce overlap of courses, and swirl to other colleges within the district and beyond.</w:t>
            </w:r>
          </w:p>
          <w:p w:rsidR="79FC1382" w:rsidRDefault="79FC1382">
            <w:r w:rsidRPr="79FC1382">
              <w:rPr>
                <w:rFonts w:ascii="Helvetica" w:eastAsia="Helvetica" w:hAnsi="Helvetica" w:cs="Helvetica"/>
                <w:b/>
                <w:bCs/>
                <w:sz w:val="24"/>
                <w:szCs w:val="24"/>
              </w:rPr>
              <w:t xml:space="preserve"> </w:t>
            </w:r>
          </w:p>
        </w:tc>
      </w:tr>
      <w:tr w:rsidR="79FC1382" w:rsidTr="59CD8032">
        <w:tc>
          <w:tcPr>
            <w:tcW w:w="2340" w:type="dxa"/>
          </w:tcPr>
          <w:p w:rsidR="79FC1382" w:rsidRDefault="79FC1382">
            <w:r w:rsidRPr="79FC1382">
              <w:rPr>
                <w:rFonts w:ascii="Helvetica" w:eastAsia="Helvetica" w:hAnsi="Helvetica" w:cs="Helvetica"/>
                <w:b/>
                <w:bCs/>
                <w:sz w:val="24"/>
                <w:szCs w:val="24"/>
              </w:rPr>
              <w:t>Completed Both Transfer-Level Math and English within the District in the First Year</w:t>
            </w:r>
          </w:p>
        </w:tc>
        <w:tc>
          <w:tcPr>
            <w:tcW w:w="1560" w:type="dxa"/>
          </w:tcPr>
          <w:p w:rsidR="79FC1382" w:rsidRDefault="79FC1382">
            <w:r w:rsidRPr="79FC1382">
              <w:rPr>
                <w:rFonts w:ascii="Helvetica" w:eastAsia="Helvetica" w:hAnsi="Helvetica" w:cs="Helvetica"/>
                <w:sz w:val="24"/>
                <w:szCs w:val="24"/>
              </w:rPr>
              <w:t>139</w:t>
            </w:r>
          </w:p>
        </w:tc>
        <w:tc>
          <w:tcPr>
            <w:tcW w:w="1140" w:type="dxa"/>
          </w:tcPr>
          <w:p w:rsidR="79FC1382" w:rsidRDefault="79FC1382">
            <w:r w:rsidRPr="79FC1382">
              <w:rPr>
                <w:rFonts w:ascii="Helvetica" w:eastAsia="Helvetica" w:hAnsi="Helvetica" w:cs="Helvetica"/>
                <w:sz w:val="24"/>
                <w:szCs w:val="24"/>
              </w:rPr>
              <w:t>159 (increase by 14%)</w:t>
            </w:r>
          </w:p>
        </w:tc>
        <w:tc>
          <w:tcPr>
            <w:tcW w:w="4320" w:type="dxa"/>
          </w:tcPr>
          <w:p w:rsidR="79FC1382" w:rsidRDefault="79FC1382" w:rsidP="79FC1382">
            <w:pPr>
              <w:pStyle w:val="ListParagraph"/>
              <w:numPr>
                <w:ilvl w:val="0"/>
                <w:numId w:val="4"/>
              </w:numPr>
            </w:pPr>
            <w:r>
              <w:t>Implement AB 705, development of support classes for transfer level English (noncredit) and math (credit 213, 215, 216). Develop and implement support courses for ESOL students</w:t>
            </w:r>
          </w:p>
          <w:p w:rsidR="79FC1382" w:rsidRDefault="59CD8032" w:rsidP="59CD8032">
            <w:pPr>
              <w:pStyle w:val="ListParagraph"/>
              <w:numPr>
                <w:ilvl w:val="0"/>
                <w:numId w:val="4"/>
              </w:numPr>
            </w:pPr>
            <w:r>
              <w:t xml:space="preserve">Embed tutoring to be in all English, Math and ESOL (GP) </w:t>
            </w:r>
          </w:p>
          <w:p w:rsidR="79FC1382" w:rsidRDefault="59CD8032" w:rsidP="59CD8032">
            <w:pPr>
              <w:pStyle w:val="ListParagraph"/>
              <w:numPr>
                <w:ilvl w:val="0"/>
                <w:numId w:val="4"/>
              </w:numPr>
            </w:pPr>
            <w:r>
              <w:t>Centralize tutoring to be set up for BCC with apportionment and provide training to instructional aides (GP)</w:t>
            </w:r>
          </w:p>
          <w:p w:rsidR="79FC1382" w:rsidRDefault="79FC1382" w:rsidP="79FC1382">
            <w:pPr>
              <w:pStyle w:val="ListParagraph"/>
              <w:numPr>
                <w:ilvl w:val="0"/>
                <w:numId w:val="4"/>
              </w:numPr>
            </w:pPr>
            <w:r>
              <w:t>Assess the results and make necessary changes and improvements. (GP)</w:t>
            </w:r>
          </w:p>
          <w:p w:rsidR="79FC1382" w:rsidRDefault="79FC1382">
            <w:r w:rsidRPr="79FC1382">
              <w:rPr>
                <w:rFonts w:ascii="Helvetica" w:eastAsia="Helvetica" w:hAnsi="Helvetica" w:cs="Helvetica"/>
                <w:b/>
                <w:bCs/>
                <w:sz w:val="24"/>
                <w:szCs w:val="24"/>
              </w:rPr>
              <w:t xml:space="preserve"> </w:t>
            </w:r>
          </w:p>
        </w:tc>
      </w:tr>
      <w:tr w:rsidR="79FC1382" w:rsidTr="59CD8032">
        <w:tc>
          <w:tcPr>
            <w:tcW w:w="2340" w:type="dxa"/>
          </w:tcPr>
          <w:p w:rsidR="79FC1382" w:rsidRDefault="79FC1382">
            <w:r w:rsidRPr="79FC1382">
              <w:rPr>
                <w:rFonts w:ascii="Helvetica" w:eastAsia="Helvetica" w:hAnsi="Helvetica" w:cs="Helvetica"/>
                <w:b/>
                <w:bCs/>
                <w:sz w:val="24"/>
                <w:szCs w:val="24"/>
              </w:rPr>
              <w:lastRenderedPageBreak/>
              <w:t>Enrolled in the Same Community College</w:t>
            </w:r>
          </w:p>
        </w:tc>
        <w:tc>
          <w:tcPr>
            <w:tcW w:w="1560" w:type="dxa"/>
          </w:tcPr>
          <w:p w:rsidR="79FC1382" w:rsidRDefault="79FC1382">
            <w:r w:rsidRPr="79FC1382">
              <w:rPr>
                <w:rFonts w:ascii="Helvetica" w:eastAsia="Helvetica" w:hAnsi="Helvetica" w:cs="Helvetica"/>
                <w:sz w:val="24"/>
                <w:szCs w:val="24"/>
              </w:rPr>
              <w:t>6869</w:t>
            </w:r>
          </w:p>
        </w:tc>
        <w:tc>
          <w:tcPr>
            <w:tcW w:w="1140" w:type="dxa"/>
          </w:tcPr>
          <w:p w:rsidR="79FC1382" w:rsidRDefault="79FC1382">
            <w:r w:rsidRPr="79FC1382">
              <w:rPr>
                <w:rFonts w:ascii="Helvetica" w:eastAsia="Helvetica" w:hAnsi="Helvetica" w:cs="Helvetica"/>
                <w:sz w:val="24"/>
                <w:szCs w:val="24"/>
              </w:rPr>
              <w:t>7027 (increase by 2%)</w:t>
            </w:r>
          </w:p>
        </w:tc>
        <w:tc>
          <w:tcPr>
            <w:tcW w:w="4320" w:type="dxa"/>
          </w:tcPr>
          <w:p w:rsidR="79FC1382" w:rsidRDefault="79FC1382" w:rsidP="79FC1382">
            <w:pPr>
              <w:pStyle w:val="ListParagraph"/>
              <w:numPr>
                <w:ilvl w:val="0"/>
                <w:numId w:val="3"/>
              </w:numPr>
            </w:pPr>
            <w:r>
              <w:t>Launch MyPath as an onboarding tool for incoming, continuing and returning students. We will work to ensure that every new student in every program receives an orientation. (GP)</w:t>
            </w:r>
          </w:p>
          <w:p w:rsidR="79FC1382" w:rsidRDefault="79FC1382" w:rsidP="79FC1382">
            <w:pPr>
              <w:pStyle w:val="ListParagraph"/>
              <w:numPr>
                <w:ilvl w:val="0"/>
                <w:numId w:val="3"/>
              </w:numPr>
            </w:pPr>
            <w:r>
              <w:t xml:space="preserve">Implement website refresh (GP). </w:t>
            </w:r>
          </w:p>
          <w:p w:rsidR="79FC1382" w:rsidRDefault="79FC1382" w:rsidP="79FC1382">
            <w:pPr>
              <w:pStyle w:val="ListParagraph"/>
              <w:numPr>
                <w:ilvl w:val="0"/>
                <w:numId w:val="3"/>
              </w:numPr>
            </w:pPr>
            <w:r>
              <w:t xml:space="preserve">Develop and implement virtual tour on the website (ISEMP). </w:t>
            </w:r>
          </w:p>
          <w:p w:rsidR="79FC1382" w:rsidRDefault="59CD8032" w:rsidP="59CD8032">
            <w:pPr>
              <w:pStyle w:val="ListParagraph"/>
              <w:numPr>
                <w:ilvl w:val="0"/>
                <w:numId w:val="3"/>
              </w:numPr>
            </w:pPr>
            <w:r>
              <w:t>Develop a work plan for Guided Pathways e.g course sequencing (GP)</w:t>
            </w:r>
          </w:p>
          <w:p w:rsidR="79FC1382" w:rsidRDefault="59CD8032" w:rsidP="59CD8032">
            <w:pPr>
              <w:pStyle w:val="ListParagraph"/>
              <w:numPr>
                <w:ilvl w:val="0"/>
                <w:numId w:val="3"/>
              </w:numPr>
            </w:pPr>
            <w:r>
              <w:t>Develop in-reach, outreach, recruitment and marketing plan that supports meeting BCC's enrollment and FTES goals (SP)</w:t>
            </w:r>
          </w:p>
          <w:p w:rsidR="79FC1382" w:rsidRDefault="79FC1382" w:rsidP="79FC1382">
            <w:pPr>
              <w:pStyle w:val="ListParagraph"/>
              <w:numPr>
                <w:ilvl w:val="0"/>
                <w:numId w:val="3"/>
              </w:numPr>
            </w:pPr>
            <w:r>
              <w:t xml:space="preserve"> Increase enrollment of Pell Grant recipients, California Promise Grant Recipients, Special Admits high school and adult school students, DE seeking students, Noncredit, and CE, CDCP students (ISENP) </w:t>
            </w:r>
          </w:p>
          <w:p w:rsidR="79FC1382" w:rsidRDefault="79FC1382" w:rsidP="79FC1382">
            <w:pPr>
              <w:pStyle w:val="ListParagraph"/>
              <w:numPr>
                <w:ilvl w:val="0"/>
                <w:numId w:val="3"/>
              </w:numPr>
            </w:pPr>
            <w:r>
              <w:t>Outreach with community partners, e.g. chamber of commerce and county health and human services divisions, CBO, high schools, places of worship, home schooled students, restorative justice organizations (ISEMP)</w:t>
            </w:r>
          </w:p>
          <w:p w:rsidR="79FC1382" w:rsidRDefault="79FC1382" w:rsidP="79FC1382">
            <w:pPr>
              <w:pStyle w:val="ListParagraph"/>
              <w:numPr>
                <w:ilvl w:val="0"/>
                <w:numId w:val="3"/>
              </w:numPr>
            </w:pPr>
            <w:r>
              <w:t>Continue to improve sequenced course offerings, analyze block scheduling to maximize facilities, reduce overlap of courses, and swirl to other colleges within the district and beyond (GP)</w:t>
            </w:r>
          </w:p>
          <w:p w:rsidR="79FC1382" w:rsidRDefault="79FC1382" w:rsidP="79FC1382">
            <w:pPr>
              <w:pStyle w:val="ListParagraph"/>
              <w:numPr>
                <w:ilvl w:val="0"/>
                <w:numId w:val="3"/>
              </w:numPr>
            </w:pPr>
            <w:r>
              <w:t xml:space="preserve"> Increase student participation in BCC programs that lead to the completion of a certificate, degree or transfer (SP) </w:t>
            </w:r>
          </w:p>
        </w:tc>
      </w:tr>
      <w:tr w:rsidR="79FC1382" w:rsidTr="59CD8032">
        <w:tc>
          <w:tcPr>
            <w:tcW w:w="2340" w:type="dxa"/>
          </w:tcPr>
          <w:p w:rsidR="79FC1382" w:rsidRDefault="79FC1382">
            <w:r w:rsidRPr="79FC1382">
              <w:rPr>
                <w:rFonts w:ascii="Helvetica" w:eastAsia="Helvetica" w:hAnsi="Helvetica" w:cs="Helvetica"/>
                <w:b/>
                <w:bCs/>
                <w:sz w:val="24"/>
                <w:szCs w:val="24"/>
              </w:rPr>
              <w:t>Retained from Fall to Spring at the Same College</w:t>
            </w:r>
          </w:p>
        </w:tc>
        <w:tc>
          <w:tcPr>
            <w:tcW w:w="1560" w:type="dxa"/>
          </w:tcPr>
          <w:p w:rsidR="79FC1382" w:rsidRDefault="79FC1382">
            <w:r w:rsidRPr="79FC1382">
              <w:rPr>
                <w:rFonts w:ascii="Helvetica" w:eastAsia="Helvetica" w:hAnsi="Helvetica" w:cs="Helvetica"/>
                <w:sz w:val="24"/>
                <w:szCs w:val="24"/>
              </w:rPr>
              <w:t>3269</w:t>
            </w:r>
          </w:p>
        </w:tc>
        <w:tc>
          <w:tcPr>
            <w:tcW w:w="1140" w:type="dxa"/>
          </w:tcPr>
          <w:p w:rsidR="79FC1382" w:rsidRDefault="79FC1382">
            <w:r w:rsidRPr="79FC1382">
              <w:rPr>
                <w:rFonts w:ascii="Helvetica" w:eastAsia="Helvetica" w:hAnsi="Helvetica" w:cs="Helvetica"/>
                <w:sz w:val="24"/>
                <w:szCs w:val="24"/>
              </w:rPr>
              <w:t>3468 (increase by 6%)</w:t>
            </w:r>
          </w:p>
        </w:tc>
        <w:tc>
          <w:tcPr>
            <w:tcW w:w="4320" w:type="dxa"/>
          </w:tcPr>
          <w:p w:rsidR="79FC1382" w:rsidRDefault="79FC1382" w:rsidP="79FC1382">
            <w:pPr>
              <w:pStyle w:val="ListParagraph"/>
              <w:numPr>
                <w:ilvl w:val="0"/>
                <w:numId w:val="2"/>
              </w:numPr>
            </w:pPr>
            <w:r>
              <w:t>Early alert and connect</w:t>
            </w:r>
          </w:p>
          <w:p w:rsidR="79FC1382" w:rsidRDefault="59CD8032" w:rsidP="59CD8032">
            <w:pPr>
              <w:pStyle w:val="ListParagraph"/>
              <w:numPr>
                <w:ilvl w:val="0"/>
                <w:numId w:val="2"/>
              </w:numPr>
            </w:pPr>
            <w:r>
              <w:t xml:space="preserve">Use technology to inform students </w:t>
            </w:r>
          </w:p>
          <w:p w:rsidR="79FC1382" w:rsidRDefault="59CD8032" w:rsidP="59CD8032">
            <w:pPr>
              <w:pStyle w:val="ListParagraph"/>
              <w:numPr>
                <w:ilvl w:val="0"/>
                <w:numId w:val="2"/>
              </w:numPr>
            </w:pPr>
            <w:r>
              <w:t xml:space="preserve">Use MyPath, Mongoose, Academic Direx (Digitasl Marketing system) and GovDelivery (mass email) to communicate with students </w:t>
            </w:r>
          </w:p>
          <w:p w:rsidR="79FC1382" w:rsidRDefault="59CD8032" w:rsidP="59CD8032">
            <w:pPr>
              <w:pStyle w:val="ListParagraph"/>
              <w:numPr>
                <w:ilvl w:val="0"/>
                <w:numId w:val="2"/>
              </w:numPr>
            </w:pPr>
            <w:r>
              <w:t>Maximize and enhance learning communities</w:t>
            </w:r>
          </w:p>
          <w:p w:rsidR="79FC1382" w:rsidRDefault="79FC1382" w:rsidP="79FC1382">
            <w:pPr>
              <w:pStyle w:val="ListParagraph"/>
              <w:numPr>
                <w:ilvl w:val="0"/>
                <w:numId w:val="2"/>
              </w:numPr>
            </w:pPr>
            <w:r>
              <w:lastRenderedPageBreak/>
              <w:t>Increase interactive social media messaging with monthly thematic posts</w:t>
            </w:r>
          </w:p>
          <w:p w:rsidR="79FC1382" w:rsidRDefault="79FC1382" w:rsidP="79FC1382">
            <w:pPr>
              <w:pStyle w:val="ListParagraph"/>
              <w:numPr>
                <w:ilvl w:val="0"/>
                <w:numId w:val="2"/>
              </w:numPr>
            </w:pPr>
            <w:r>
              <w:t>Increase campus-wide activities to promote student engagement</w:t>
            </w:r>
          </w:p>
          <w:p w:rsidR="79FC1382" w:rsidRDefault="79FC1382" w:rsidP="79FC1382">
            <w:pPr>
              <w:pStyle w:val="ListParagraph"/>
              <w:numPr>
                <w:ilvl w:val="0"/>
                <w:numId w:val="2"/>
              </w:numPr>
            </w:pPr>
            <w:r>
              <w:t>Develop a mentorship program</w:t>
            </w:r>
          </w:p>
          <w:p w:rsidR="79FC1382" w:rsidRDefault="79FC1382" w:rsidP="79FC1382">
            <w:pPr>
              <w:pStyle w:val="ListParagraph"/>
              <w:numPr>
                <w:ilvl w:val="0"/>
                <w:numId w:val="2"/>
              </w:numPr>
            </w:pPr>
            <w:r>
              <w:t xml:space="preserve">Enhance UMOJA program, and connect students to college resources </w:t>
            </w:r>
          </w:p>
          <w:p w:rsidR="79FC1382" w:rsidRDefault="59CD8032" w:rsidP="59CD8032">
            <w:pPr>
              <w:pStyle w:val="ListParagraph"/>
              <w:numPr>
                <w:ilvl w:val="0"/>
                <w:numId w:val="2"/>
              </w:numPr>
            </w:pPr>
            <w:r>
              <w:t xml:space="preserve">Provide a resource center to support undocumented students </w:t>
            </w:r>
          </w:p>
          <w:p w:rsidR="79FC1382" w:rsidRDefault="59CD8032" w:rsidP="59CD8032">
            <w:pPr>
              <w:pStyle w:val="ListParagraph"/>
              <w:numPr>
                <w:ilvl w:val="0"/>
                <w:numId w:val="2"/>
              </w:numPr>
            </w:pPr>
            <w:r>
              <w:t xml:space="preserve">Embed tutoring expansion and an implementation of centralized tutoring services for the upcoming years. (GP) </w:t>
            </w:r>
          </w:p>
          <w:p w:rsidR="79FC1382" w:rsidRDefault="79FC1382" w:rsidP="79FC1382">
            <w:pPr>
              <w:pStyle w:val="ListParagraph"/>
              <w:numPr>
                <w:ilvl w:val="0"/>
                <w:numId w:val="2"/>
              </w:numPr>
            </w:pPr>
            <w:r>
              <w:t>Create innovative programs such as a Bridge Program to support poorly prepared students to be ready for college-level courses sooner (GP).</w:t>
            </w:r>
          </w:p>
          <w:p w:rsidR="79FC1382" w:rsidRDefault="79FC1382" w:rsidP="79FC1382">
            <w:pPr>
              <w:pStyle w:val="ListParagraph"/>
              <w:numPr>
                <w:ilvl w:val="0"/>
                <w:numId w:val="2"/>
              </w:numPr>
            </w:pPr>
            <w:r>
              <w:t>Coordinate a pilot for an embedded counseling model for English 1A Plus during the support class to connect students with counselors, increase SEP developments, and to provide important semester milestone information to students (GP)</w:t>
            </w:r>
          </w:p>
          <w:p w:rsidR="79FC1382" w:rsidRDefault="79FC1382" w:rsidP="79FC1382">
            <w:pPr>
              <w:pStyle w:val="ListParagraph"/>
              <w:numPr>
                <w:ilvl w:val="0"/>
                <w:numId w:val="2"/>
              </w:numPr>
            </w:pPr>
            <w:r>
              <w:t xml:space="preserve">Increase student participation in BCC programs that lead to the completion of a certificate, degree or transfer (SP) </w:t>
            </w:r>
          </w:p>
        </w:tc>
      </w:tr>
    </w:tbl>
    <w:p w:rsidR="73A68994" w:rsidRDefault="59CD8032" w:rsidP="59CD8032">
      <w:pPr>
        <w:spacing w:beforeAutospacing="1" w:afterAutospacing="1" w:line="240" w:lineRule="auto"/>
        <w:rPr>
          <w:rFonts w:ascii="Helvetica" w:eastAsia="Helvetica" w:hAnsi="Helvetica" w:cs="Helvetica"/>
          <w:sz w:val="24"/>
          <w:szCs w:val="24"/>
          <w:highlight w:val="yellow"/>
        </w:rPr>
      </w:pPr>
      <w:r w:rsidRPr="59CD8032">
        <w:rPr>
          <w:rFonts w:ascii="Helvetica" w:eastAsia="Helvetica" w:hAnsi="Helvetica" w:cs="Helvetica"/>
          <w:sz w:val="24"/>
          <w:szCs w:val="24"/>
        </w:rPr>
        <w:lastRenderedPageBreak/>
        <w:t xml:space="preserve">The key below provides information on the notations in Table 2 identifying which BCC Plan served as the origin of the activity </w:t>
      </w:r>
    </w:p>
    <w:p w:rsidR="59CD8032" w:rsidRDefault="59CD8032" w:rsidP="59CD8032">
      <w:pPr>
        <w:spacing w:beforeAutospacing="1" w:afterAutospacing="1" w:line="240" w:lineRule="auto"/>
        <w:rPr>
          <w:rFonts w:ascii="Helvetica" w:eastAsia="Helvetica" w:hAnsi="Helvetica" w:cs="Helvetica"/>
          <w:sz w:val="24"/>
          <w:szCs w:val="24"/>
        </w:rPr>
      </w:pPr>
    </w:p>
    <w:p w:rsidR="00F44978" w:rsidRPr="00F44978" w:rsidRDefault="79FC1382" w:rsidP="79FC1382">
      <w:pPr>
        <w:spacing w:before="100" w:beforeAutospacing="1" w:after="100" w:afterAutospacing="1" w:line="240" w:lineRule="auto"/>
      </w:pPr>
      <w:r w:rsidRPr="79FC1382">
        <w:rPr>
          <w:rFonts w:ascii="Helvetica" w:eastAsia="Helvetica" w:hAnsi="Helvetica" w:cs="Helvetica"/>
          <w:sz w:val="24"/>
          <w:szCs w:val="24"/>
        </w:rPr>
        <w:t>VS – Alignment of 2022 Vision for Success</w:t>
      </w:r>
    </w:p>
    <w:p w:rsidR="00F44978" w:rsidRPr="00F44978" w:rsidRDefault="79FC1382" w:rsidP="79FC1382">
      <w:pPr>
        <w:spacing w:before="100" w:beforeAutospacing="1" w:after="100" w:afterAutospacing="1" w:line="240" w:lineRule="auto"/>
      </w:pPr>
      <w:r w:rsidRPr="79FC1382">
        <w:rPr>
          <w:rFonts w:ascii="Helvetica" w:eastAsia="Helvetica" w:hAnsi="Helvetica" w:cs="Helvetica"/>
          <w:sz w:val="24"/>
          <w:szCs w:val="24"/>
        </w:rPr>
        <w:t>BCCMP – BCC Master Plan</w:t>
      </w:r>
    </w:p>
    <w:p w:rsidR="00F44978" w:rsidRPr="00F44978" w:rsidRDefault="73A68994" w:rsidP="73A68994">
      <w:pPr>
        <w:spacing w:before="100" w:beforeAutospacing="1" w:after="100" w:afterAutospacing="1" w:line="240" w:lineRule="auto"/>
      </w:pPr>
      <w:r w:rsidRPr="73A68994">
        <w:rPr>
          <w:rFonts w:ascii="Helvetica" w:eastAsia="Helvetica" w:hAnsi="Helvetica" w:cs="Helvetica"/>
          <w:sz w:val="24"/>
          <w:szCs w:val="24"/>
        </w:rPr>
        <w:t>SP – 2018-20 Strategic Plan</w:t>
      </w:r>
    </w:p>
    <w:p w:rsidR="00F44978" w:rsidRPr="00F44978" w:rsidRDefault="79FC1382" w:rsidP="79FC1382">
      <w:pPr>
        <w:spacing w:before="100" w:beforeAutospacing="1" w:after="100" w:afterAutospacing="1" w:line="240" w:lineRule="auto"/>
      </w:pPr>
      <w:r w:rsidRPr="79FC1382">
        <w:rPr>
          <w:rFonts w:ascii="Helvetica" w:eastAsia="Helvetica" w:hAnsi="Helvetica" w:cs="Helvetica"/>
          <w:sz w:val="24"/>
          <w:szCs w:val="24"/>
        </w:rPr>
        <w:t>ISEMP – Integrated Strategic Enrollment Management Plan</w:t>
      </w:r>
    </w:p>
    <w:p w:rsidR="00F44978" w:rsidRPr="00F44978" w:rsidRDefault="79FC1382" w:rsidP="79FC1382">
      <w:pPr>
        <w:spacing w:before="100" w:beforeAutospacing="1" w:after="100" w:afterAutospacing="1" w:line="240" w:lineRule="auto"/>
      </w:pPr>
      <w:r w:rsidRPr="79FC1382">
        <w:rPr>
          <w:rFonts w:ascii="Helvetica" w:eastAsia="Helvetica" w:hAnsi="Helvetica" w:cs="Helvetica"/>
          <w:sz w:val="24"/>
          <w:szCs w:val="24"/>
        </w:rPr>
        <w:t>IP – BCC Integrated Plan 2017-19</w:t>
      </w:r>
    </w:p>
    <w:p w:rsidR="59CD8032" w:rsidRPr="003C424D" w:rsidRDefault="59CD8032" w:rsidP="003C424D">
      <w:pPr>
        <w:spacing w:before="100" w:beforeAutospacing="1" w:after="100" w:afterAutospacing="1" w:line="240" w:lineRule="auto"/>
      </w:pPr>
      <w:r w:rsidRPr="59CD8032">
        <w:rPr>
          <w:rFonts w:ascii="Helvetica" w:eastAsia="Helvetica" w:hAnsi="Helvetica" w:cs="Helvetica"/>
          <w:sz w:val="24"/>
          <w:szCs w:val="24"/>
        </w:rPr>
        <w:t>GP – Guided Pathways</w:t>
      </w:r>
    </w:p>
    <w:p w:rsidR="59CD8032" w:rsidRPr="003C424D" w:rsidRDefault="59CD8032" w:rsidP="003C424D">
      <w:pPr>
        <w:shd w:val="clear" w:color="auto" w:fill="FFFFFF" w:themeFill="background1"/>
        <w:spacing w:before="100" w:beforeAutospacing="1" w:after="100" w:afterAutospacing="1" w:line="240" w:lineRule="auto"/>
        <w:rPr>
          <w:rFonts w:ascii="Helvetica" w:eastAsia="Times New Roman" w:hAnsi="Helvetica" w:cs="Helvetica"/>
          <w:b/>
          <w:bCs/>
          <w:sz w:val="24"/>
          <w:szCs w:val="24"/>
        </w:rPr>
      </w:pPr>
      <w:r w:rsidRPr="59CD8032">
        <w:rPr>
          <w:rFonts w:ascii="Helvetica" w:eastAsia="Times New Roman" w:hAnsi="Helvetica" w:cs="Helvetica"/>
          <w:b/>
          <w:bCs/>
          <w:sz w:val="24"/>
          <w:szCs w:val="24"/>
        </w:rPr>
        <w:lastRenderedPageBreak/>
        <w:t>Resources Allocated for Activities</w:t>
      </w:r>
    </w:p>
    <w:p w:rsidR="59CD8032" w:rsidRDefault="59CD8032" w:rsidP="59CD8032">
      <w:pPr>
        <w:shd w:val="clear" w:color="auto" w:fill="FFFFFF" w:themeFill="background1"/>
        <w:spacing w:beforeAutospacing="1" w:afterAutospacing="1" w:line="240" w:lineRule="auto"/>
        <w:rPr>
          <w:rFonts w:ascii="Helvetica" w:eastAsia="Times New Roman" w:hAnsi="Helvetica" w:cs="Helvetica"/>
          <w:sz w:val="24"/>
          <w:szCs w:val="24"/>
        </w:rPr>
      </w:pPr>
      <w:r w:rsidRPr="59CD8032">
        <w:rPr>
          <w:rFonts w:ascii="Helvetica" w:eastAsia="Times New Roman" w:hAnsi="Helvetica" w:cs="Helvetica"/>
          <w:sz w:val="24"/>
          <w:szCs w:val="24"/>
        </w:rPr>
        <w:t>The Berkeley City College mission, Strategic Plan, Educational Master Plan and Integrated Strategic Enrollment Management Plan are all rooted in student equity, this is manifested in the overlapping goals to increase enrollment and completion in disproportionately impacted communities. Student Equity work is supported by multiple sources of funding. Student Equity, SSSP, Basic Skills, CE, EOPS, DSPS and NextUp have all focused their efforts on supporting disproportionately impacted students in achieving their educational goals. In addition, Berkeley City College has actively sought other funding sources to support equity. Other sources of that funding that support equity work include:</w:t>
      </w:r>
    </w:p>
    <w:p w:rsidR="59CD8032" w:rsidRDefault="59CD8032" w:rsidP="59CD8032">
      <w:pPr>
        <w:pStyle w:val="ListParagraph"/>
        <w:numPr>
          <w:ilvl w:val="0"/>
          <w:numId w:val="1"/>
        </w:numPr>
        <w:shd w:val="clear" w:color="auto" w:fill="FFFFFF" w:themeFill="background1"/>
        <w:spacing w:beforeAutospacing="1" w:afterAutospacing="1" w:line="240" w:lineRule="auto"/>
        <w:rPr>
          <w:sz w:val="24"/>
          <w:szCs w:val="24"/>
        </w:rPr>
      </w:pPr>
      <w:r w:rsidRPr="59CD8032">
        <w:rPr>
          <w:rFonts w:ascii="Helvetica" w:eastAsia="Times New Roman" w:hAnsi="Helvetica" w:cs="Helvetica"/>
          <w:sz w:val="24"/>
          <w:szCs w:val="24"/>
        </w:rPr>
        <w:t>California Adult Education Program</w:t>
      </w:r>
    </w:p>
    <w:p w:rsidR="59CD8032" w:rsidRDefault="59CD8032" w:rsidP="59CD8032">
      <w:pPr>
        <w:pStyle w:val="ListParagraph"/>
        <w:numPr>
          <w:ilvl w:val="0"/>
          <w:numId w:val="1"/>
        </w:numPr>
        <w:shd w:val="clear" w:color="auto" w:fill="FFFFFF" w:themeFill="background1"/>
        <w:spacing w:beforeAutospacing="1" w:afterAutospacing="1" w:line="240" w:lineRule="auto"/>
        <w:rPr>
          <w:sz w:val="24"/>
          <w:szCs w:val="24"/>
        </w:rPr>
      </w:pPr>
      <w:r w:rsidRPr="59CD8032">
        <w:rPr>
          <w:rFonts w:ascii="Helvetica" w:eastAsia="Times New Roman" w:hAnsi="Helvetica" w:cs="Helvetica"/>
          <w:sz w:val="24"/>
          <w:szCs w:val="24"/>
        </w:rPr>
        <w:t>Veterans Resource Center funding</w:t>
      </w:r>
    </w:p>
    <w:p w:rsidR="59CD8032" w:rsidRDefault="59CD8032" w:rsidP="59CD8032">
      <w:pPr>
        <w:pStyle w:val="ListParagraph"/>
        <w:numPr>
          <w:ilvl w:val="0"/>
          <w:numId w:val="1"/>
        </w:numPr>
        <w:shd w:val="clear" w:color="auto" w:fill="FFFFFF" w:themeFill="background1"/>
        <w:spacing w:beforeAutospacing="1" w:afterAutospacing="1" w:line="240" w:lineRule="auto"/>
        <w:rPr>
          <w:sz w:val="24"/>
          <w:szCs w:val="24"/>
        </w:rPr>
      </w:pPr>
      <w:r w:rsidRPr="59CD8032">
        <w:rPr>
          <w:rFonts w:ascii="Helvetica" w:eastAsia="Times New Roman" w:hAnsi="Helvetica" w:cs="Helvetica"/>
          <w:sz w:val="24"/>
          <w:szCs w:val="24"/>
        </w:rPr>
        <w:t>Hunger Free campus Support</w:t>
      </w:r>
    </w:p>
    <w:p w:rsidR="59CD8032" w:rsidRDefault="59CD8032" w:rsidP="59CD8032">
      <w:pPr>
        <w:shd w:val="clear" w:color="auto" w:fill="FFFFFF" w:themeFill="background1"/>
        <w:spacing w:beforeAutospacing="1" w:afterAutospacing="1" w:line="240" w:lineRule="auto"/>
        <w:rPr>
          <w:rFonts w:ascii="Helvetica" w:eastAsia="Times New Roman" w:hAnsi="Helvetica" w:cs="Helvetica"/>
          <w:sz w:val="24"/>
          <w:szCs w:val="24"/>
        </w:rPr>
      </w:pPr>
      <w:r w:rsidRPr="59CD8032">
        <w:rPr>
          <w:rFonts w:ascii="Helvetica" w:eastAsia="Times New Roman" w:hAnsi="Helvetica" w:cs="Helvetica"/>
          <w:sz w:val="24"/>
          <w:szCs w:val="24"/>
        </w:rPr>
        <w:t xml:space="preserve">The following is a breakdown of the proposed budget for 2019-20 (including carry </w:t>
      </w:r>
      <w:r w:rsidR="003C424D" w:rsidRPr="59CD8032">
        <w:rPr>
          <w:rFonts w:ascii="Helvetica" w:eastAsia="Times New Roman" w:hAnsi="Helvetica" w:cs="Helvetica"/>
          <w:sz w:val="24"/>
          <w:szCs w:val="24"/>
        </w:rPr>
        <w:t>over from</w:t>
      </w:r>
      <w:r w:rsidRPr="59CD8032">
        <w:rPr>
          <w:rFonts w:ascii="Helvetica" w:eastAsia="Times New Roman" w:hAnsi="Helvetica" w:cs="Helvetica"/>
          <w:sz w:val="24"/>
          <w:szCs w:val="24"/>
        </w:rPr>
        <w:t xml:space="preserve"> the prior year</w:t>
      </w:r>
      <w:r w:rsidR="003C424D" w:rsidRPr="59CD8032">
        <w:rPr>
          <w:rFonts w:ascii="Helvetica" w:eastAsia="Times New Roman" w:hAnsi="Helvetica" w:cs="Helvetica"/>
          <w:sz w:val="24"/>
          <w:szCs w:val="24"/>
        </w:rPr>
        <w:t>):</w:t>
      </w:r>
    </w:p>
    <w:p w:rsidR="59CD8032" w:rsidRDefault="59CD8032" w:rsidP="59CD8032">
      <w:pPr>
        <w:shd w:val="clear" w:color="auto" w:fill="FFFFFF" w:themeFill="background1"/>
        <w:spacing w:beforeAutospacing="1" w:afterAutospacing="1" w:line="240" w:lineRule="auto"/>
        <w:rPr>
          <w:rFonts w:ascii="Helvetica" w:eastAsia="Times New Roman" w:hAnsi="Helvetica" w:cs="Helvetica"/>
          <w:sz w:val="24"/>
          <w:szCs w:val="24"/>
          <w:highlight w:val="yellow"/>
        </w:rPr>
      </w:pPr>
      <w:r w:rsidRPr="59CD8032">
        <w:rPr>
          <w:rFonts w:ascii="Helvetica" w:eastAsia="Times New Roman" w:hAnsi="Helvetica" w:cs="Helvetica"/>
          <w:sz w:val="24"/>
          <w:szCs w:val="24"/>
          <w:highlight w:val="yellow"/>
        </w:rPr>
        <w:t>Insert Proposed Budget after Governance Retreat</w:t>
      </w:r>
    </w:p>
    <w:p w:rsidR="59CD8032" w:rsidRDefault="59CD8032" w:rsidP="59CD8032">
      <w:pPr>
        <w:shd w:val="clear" w:color="auto" w:fill="FFFFFF" w:themeFill="background1"/>
        <w:spacing w:beforeAutospacing="1" w:afterAutospacing="1" w:line="240" w:lineRule="auto"/>
        <w:rPr>
          <w:rFonts w:ascii="Helvetica" w:eastAsia="Times New Roman" w:hAnsi="Helvetica" w:cs="Helvetica"/>
          <w:b/>
          <w:bCs/>
          <w:sz w:val="24"/>
          <w:szCs w:val="24"/>
        </w:rPr>
      </w:pPr>
      <w:r w:rsidRPr="59CD8032">
        <w:rPr>
          <w:rFonts w:ascii="Helvetica" w:eastAsia="Times New Roman" w:hAnsi="Helvetica" w:cs="Helvetica"/>
          <w:b/>
          <w:bCs/>
          <w:sz w:val="24"/>
          <w:szCs w:val="24"/>
        </w:rPr>
        <w:t>Evaluation Plan and Process</w:t>
      </w:r>
    </w:p>
    <w:p w:rsidR="59CD8032" w:rsidRDefault="59CD8032" w:rsidP="59CD8032">
      <w:pPr>
        <w:shd w:val="clear" w:color="auto" w:fill="FFFFFF" w:themeFill="background1"/>
        <w:spacing w:beforeAutospacing="1" w:afterAutospacing="1" w:line="240" w:lineRule="auto"/>
        <w:rPr>
          <w:rFonts w:ascii="Helvetica" w:eastAsia="Times New Roman" w:hAnsi="Helvetica" w:cs="Helvetica"/>
          <w:sz w:val="24"/>
          <w:szCs w:val="24"/>
        </w:rPr>
      </w:pPr>
      <w:r w:rsidRPr="59CD8032">
        <w:rPr>
          <w:rFonts w:ascii="Helvetica" w:eastAsia="Times New Roman" w:hAnsi="Helvetica" w:cs="Helvetica"/>
          <w:sz w:val="24"/>
          <w:szCs w:val="24"/>
        </w:rPr>
        <w:t xml:space="preserve">The Student Success Metrics Dashboard data by the California Community College Chancellor’s Office (CCCCO) provides the basis of evaluation. BCC student information will be reviewed by the Associate Dean of Student Equity and Achievement and the Institutional Researcher every semester with a full assessment and campus update annually. The five metrics established in the Student Equity and Achievement (SEA) Program will be used to assess all DI support programs. The Integrated Planning Committee will also review the annual assessment of progress in DI student populations and ensure collaboration with other DI-related programs in the college. </w:t>
      </w:r>
    </w:p>
    <w:p w:rsidR="00F44978" w:rsidRPr="00F44978" w:rsidRDefault="73A68994" w:rsidP="79FC1382">
      <w:pPr>
        <w:shd w:val="clear" w:color="auto" w:fill="FFFFFF" w:themeFill="background1"/>
        <w:spacing w:before="100" w:beforeAutospacing="1" w:after="100" w:afterAutospacing="1" w:line="240" w:lineRule="auto"/>
        <w:rPr>
          <w:rFonts w:ascii="Helvetica" w:hAnsi="Helvetica" w:cs="Helvetica"/>
          <w:b/>
          <w:bCs/>
          <w:sz w:val="24"/>
          <w:szCs w:val="24"/>
        </w:rPr>
      </w:pPr>
      <w:r w:rsidRPr="73A68994">
        <w:rPr>
          <w:rFonts w:ascii="Helvetica" w:hAnsi="Helvetica" w:cs="Helvetica"/>
          <w:b/>
          <w:bCs/>
          <w:sz w:val="24"/>
          <w:szCs w:val="24"/>
        </w:rPr>
        <w:t>Assessment of Student Equity 2015-2018</w:t>
      </w:r>
    </w:p>
    <w:p w:rsidR="59CD8032" w:rsidRDefault="59CD8032" w:rsidP="59CD8032">
      <w:pPr>
        <w:spacing w:beforeAutospacing="1" w:afterAutospacing="1" w:line="240" w:lineRule="auto"/>
        <w:rPr>
          <w:rFonts w:ascii="Helvetica" w:eastAsia="Times New Roman" w:hAnsi="Helvetica" w:cs="Helvetica"/>
          <w:sz w:val="24"/>
          <w:szCs w:val="24"/>
        </w:rPr>
      </w:pPr>
      <w:r w:rsidRPr="59CD8032">
        <w:rPr>
          <w:rFonts w:ascii="Helvetica" w:eastAsia="Times New Roman" w:hAnsi="Helvetica" w:cs="Helvetica"/>
          <w:sz w:val="24"/>
          <w:szCs w:val="24"/>
        </w:rPr>
        <w:t>The table below will show the metrics of DI populations for the last three years. State reports for the last three years have not required assessment reports for Equity funds allocated. Moving forward all resources allocated for equity purposes will be annually evaluated.</w:t>
      </w:r>
    </w:p>
    <w:p w:rsidR="009D0541" w:rsidRDefault="73A68994" w:rsidP="73A68994">
      <w:pPr>
        <w:shd w:val="clear" w:color="auto" w:fill="FFFFFF" w:themeFill="background1"/>
        <w:spacing w:before="100" w:beforeAutospacing="1" w:after="100" w:afterAutospacing="1" w:line="240" w:lineRule="auto"/>
        <w:rPr>
          <w:rFonts w:ascii="Helvetica" w:eastAsia="Times New Roman" w:hAnsi="Helvetica" w:cs="Helvetica"/>
          <w:sz w:val="24"/>
          <w:szCs w:val="24"/>
        </w:rPr>
      </w:pPr>
      <w:r w:rsidRPr="73A68994">
        <w:rPr>
          <w:rFonts w:ascii="Helvetica" w:eastAsia="Times New Roman" w:hAnsi="Helvetica" w:cs="Helvetica"/>
          <w:sz w:val="24"/>
          <w:szCs w:val="24"/>
          <w:highlight w:val="yellow"/>
        </w:rPr>
        <w:t>Insert updated table here</w:t>
      </w:r>
    </w:p>
    <w:p w:rsidR="00982178" w:rsidRPr="00982178" w:rsidRDefault="00982178" w:rsidP="00982178">
      <w:pPr>
        <w:shd w:val="clear" w:color="auto" w:fill="FFFFFF"/>
        <w:spacing w:before="100" w:beforeAutospacing="1" w:after="100" w:afterAutospacing="1" w:line="240" w:lineRule="auto"/>
        <w:rPr>
          <w:rFonts w:ascii="Helvetica" w:eastAsia="Times New Roman" w:hAnsi="Helvetica" w:cs="Helvetica"/>
          <w:b/>
          <w:sz w:val="24"/>
          <w:szCs w:val="24"/>
        </w:rPr>
      </w:pPr>
      <w:r w:rsidRPr="00982178">
        <w:rPr>
          <w:rFonts w:ascii="Helvetica" w:eastAsia="Times New Roman" w:hAnsi="Helvetica" w:cs="Helvetica"/>
          <w:b/>
          <w:sz w:val="24"/>
          <w:szCs w:val="24"/>
        </w:rPr>
        <w:t>2015-2018 Student Equity Funds Spent</w:t>
      </w:r>
    </w:p>
    <w:tbl>
      <w:tblPr>
        <w:tblStyle w:val="TableGrid"/>
        <w:tblW w:w="9085" w:type="dxa"/>
        <w:tblLayout w:type="fixed"/>
        <w:tblCellMar>
          <w:left w:w="115" w:type="dxa"/>
          <w:right w:w="115" w:type="dxa"/>
        </w:tblCellMar>
        <w:tblLook w:val="04A0" w:firstRow="1" w:lastRow="0" w:firstColumn="1" w:lastColumn="0" w:noHBand="0" w:noVBand="1"/>
      </w:tblPr>
      <w:tblGrid>
        <w:gridCol w:w="4675"/>
        <w:gridCol w:w="4410"/>
      </w:tblGrid>
      <w:tr w:rsidR="00982178" w:rsidRPr="00837D7E" w:rsidTr="73A68994">
        <w:tc>
          <w:tcPr>
            <w:tcW w:w="9085" w:type="dxa"/>
            <w:gridSpan w:val="2"/>
            <w:shd w:val="clear" w:color="auto" w:fill="000000" w:themeFill="text1"/>
          </w:tcPr>
          <w:p w:rsidR="00982178" w:rsidRPr="00837D7E" w:rsidRDefault="00982178" w:rsidP="00E15ED7">
            <w:pPr>
              <w:jc w:val="center"/>
              <w:rPr>
                <w:rFonts w:cs="Futura"/>
                <w:color w:val="FFFFFF" w:themeColor="background1"/>
              </w:rPr>
            </w:pPr>
            <w:r w:rsidRPr="00837D7E">
              <w:rPr>
                <w:rFonts w:cs="Futura"/>
                <w:color w:val="FFFFFF" w:themeColor="background1"/>
              </w:rPr>
              <w:t>2015-16 Student Equity Expenditures</w:t>
            </w:r>
          </w:p>
        </w:tc>
      </w:tr>
      <w:tr w:rsidR="00982178" w:rsidRPr="00837D7E" w:rsidTr="73A68994">
        <w:tblPrEx>
          <w:tblCellMar>
            <w:left w:w="108" w:type="dxa"/>
            <w:right w:w="108" w:type="dxa"/>
          </w:tblCellMar>
        </w:tblPrEx>
        <w:tc>
          <w:tcPr>
            <w:tcW w:w="4675" w:type="dxa"/>
            <w:shd w:val="clear" w:color="auto" w:fill="E2EFD9" w:themeFill="accent6" w:themeFillTint="33"/>
            <w:vAlign w:val="center"/>
          </w:tcPr>
          <w:p w:rsidR="00982178" w:rsidRPr="00837D7E" w:rsidRDefault="00982178" w:rsidP="00E15ED7">
            <w:pPr>
              <w:jc w:val="center"/>
              <w:rPr>
                <w:color w:val="0070C0"/>
              </w:rPr>
            </w:pPr>
            <w:r w:rsidRPr="00837D7E">
              <w:rPr>
                <w:rFonts w:cs="Times New Roman"/>
                <w:b/>
              </w:rPr>
              <w:t>Category</w:t>
            </w:r>
          </w:p>
        </w:tc>
        <w:tc>
          <w:tcPr>
            <w:tcW w:w="4410" w:type="dxa"/>
            <w:shd w:val="clear" w:color="auto" w:fill="E2EFD9" w:themeFill="accent6" w:themeFillTint="33"/>
            <w:vAlign w:val="center"/>
          </w:tcPr>
          <w:p w:rsidR="00982178" w:rsidRPr="00837D7E" w:rsidRDefault="00982178" w:rsidP="00E15ED7">
            <w:pPr>
              <w:jc w:val="center"/>
              <w:rPr>
                <w:color w:val="0070C0"/>
              </w:rPr>
            </w:pPr>
            <w:r w:rsidRPr="00837D7E">
              <w:rPr>
                <w:rFonts w:cs="Times New Roman"/>
                <w:b/>
              </w:rPr>
              <w:t>Expenditure</w:t>
            </w:r>
          </w:p>
        </w:tc>
      </w:tr>
      <w:tr w:rsidR="00982178" w:rsidRPr="00837D7E" w:rsidTr="73A68994">
        <w:tblPrEx>
          <w:tblCellMar>
            <w:left w:w="108" w:type="dxa"/>
            <w:right w:w="108" w:type="dxa"/>
          </w:tblCellMar>
        </w:tblPrEx>
        <w:tc>
          <w:tcPr>
            <w:tcW w:w="4675" w:type="dxa"/>
          </w:tcPr>
          <w:p w:rsidR="00982178" w:rsidRPr="00837D7E" w:rsidRDefault="00982178" w:rsidP="00CF265B">
            <w:r>
              <w:t xml:space="preserve">1000 </w:t>
            </w:r>
            <w:r w:rsidR="00CF265B">
              <w:t>Dean, Counselors, LC Faculty</w:t>
            </w:r>
          </w:p>
        </w:tc>
        <w:tc>
          <w:tcPr>
            <w:tcW w:w="4410" w:type="dxa"/>
          </w:tcPr>
          <w:p w:rsidR="00982178" w:rsidRPr="00837D7E" w:rsidRDefault="004B7A73" w:rsidP="00E15ED7">
            <w:r>
              <w:t>$</w:t>
            </w:r>
            <w:r w:rsidR="00982178">
              <w:t>168,851</w:t>
            </w:r>
          </w:p>
        </w:tc>
      </w:tr>
      <w:tr w:rsidR="00982178" w:rsidRPr="00837D7E" w:rsidTr="73A68994">
        <w:tblPrEx>
          <w:tblCellMar>
            <w:left w:w="108" w:type="dxa"/>
            <w:right w:w="108" w:type="dxa"/>
          </w:tblCellMar>
        </w:tblPrEx>
        <w:tc>
          <w:tcPr>
            <w:tcW w:w="4675" w:type="dxa"/>
          </w:tcPr>
          <w:p w:rsidR="00982178" w:rsidRPr="00837D7E" w:rsidRDefault="00982178" w:rsidP="00E15ED7">
            <w:r w:rsidRPr="00837D7E">
              <w:lastRenderedPageBreak/>
              <w:t>2000 Classified, Nonacademic Salaries</w:t>
            </w:r>
          </w:p>
        </w:tc>
        <w:tc>
          <w:tcPr>
            <w:tcW w:w="4410" w:type="dxa"/>
          </w:tcPr>
          <w:p w:rsidR="00982178" w:rsidRPr="00837D7E" w:rsidRDefault="004B7A73" w:rsidP="00E15ED7">
            <w:r>
              <w:t>$109,325</w:t>
            </w:r>
          </w:p>
        </w:tc>
      </w:tr>
      <w:tr w:rsidR="00982178" w:rsidRPr="00837D7E" w:rsidTr="73A68994">
        <w:tblPrEx>
          <w:tblCellMar>
            <w:left w:w="108" w:type="dxa"/>
            <w:right w:w="108" w:type="dxa"/>
          </w:tblCellMar>
        </w:tblPrEx>
        <w:tc>
          <w:tcPr>
            <w:tcW w:w="4675" w:type="dxa"/>
          </w:tcPr>
          <w:p w:rsidR="00982178" w:rsidRPr="00837D7E" w:rsidRDefault="00982178" w:rsidP="00E15ED7">
            <w:r w:rsidRPr="00837D7E">
              <w:t>3000 Employee Benefits</w:t>
            </w:r>
          </w:p>
        </w:tc>
        <w:tc>
          <w:tcPr>
            <w:tcW w:w="4410" w:type="dxa"/>
          </w:tcPr>
          <w:p w:rsidR="00982178" w:rsidRPr="00837D7E" w:rsidRDefault="73A68994" w:rsidP="00E15ED7">
            <w:r>
              <w:t>$ 39,593</w:t>
            </w:r>
          </w:p>
        </w:tc>
      </w:tr>
      <w:tr w:rsidR="00982178" w:rsidRPr="00837D7E" w:rsidTr="73A68994">
        <w:tblPrEx>
          <w:tblCellMar>
            <w:left w:w="108" w:type="dxa"/>
            <w:right w:w="108" w:type="dxa"/>
          </w:tblCellMar>
        </w:tblPrEx>
        <w:tc>
          <w:tcPr>
            <w:tcW w:w="4675" w:type="dxa"/>
          </w:tcPr>
          <w:p w:rsidR="00982178" w:rsidRPr="00837D7E" w:rsidRDefault="00982178" w:rsidP="00E15ED7">
            <w:r w:rsidRPr="00837D7E">
              <w:t>4000 Supplies and Materials</w:t>
            </w:r>
          </w:p>
        </w:tc>
        <w:tc>
          <w:tcPr>
            <w:tcW w:w="4410" w:type="dxa"/>
          </w:tcPr>
          <w:p w:rsidR="00982178" w:rsidRPr="00837D7E" w:rsidRDefault="73A68994" w:rsidP="00E15ED7">
            <w:r>
              <w:t>$ 19,320</w:t>
            </w:r>
          </w:p>
        </w:tc>
      </w:tr>
      <w:tr w:rsidR="00982178" w:rsidRPr="00837D7E" w:rsidTr="73A68994">
        <w:tblPrEx>
          <w:tblCellMar>
            <w:left w:w="108" w:type="dxa"/>
            <w:right w:w="108" w:type="dxa"/>
          </w:tblCellMar>
        </w:tblPrEx>
        <w:tc>
          <w:tcPr>
            <w:tcW w:w="4675" w:type="dxa"/>
          </w:tcPr>
          <w:p w:rsidR="00982178" w:rsidRPr="00837D7E" w:rsidRDefault="00982178" w:rsidP="002B6163">
            <w:r w:rsidRPr="00837D7E">
              <w:t xml:space="preserve">5000 </w:t>
            </w:r>
            <w:r w:rsidR="002B6163">
              <w:t>Guest Speakers, Travel, Publications</w:t>
            </w:r>
          </w:p>
        </w:tc>
        <w:tc>
          <w:tcPr>
            <w:tcW w:w="4410" w:type="dxa"/>
          </w:tcPr>
          <w:p w:rsidR="00982178" w:rsidRPr="00837D7E" w:rsidRDefault="73A68994" w:rsidP="00E15ED7">
            <w:r>
              <w:t>$ 14,009</w:t>
            </w:r>
          </w:p>
        </w:tc>
      </w:tr>
      <w:tr w:rsidR="00982178" w:rsidRPr="00837D7E" w:rsidTr="73A68994">
        <w:tblPrEx>
          <w:tblCellMar>
            <w:left w:w="108" w:type="dxa"/>
            <w:right w:w="108" w:type="dxa"/>
          </w:tblCellMar>
        </w:tblPrEx>
        <w:tc>
          <w:tcPr>
            <w:tcW w:w="4675" w:type="dxa"/>
          </w:tcPr>
          <w:p w:rsidR="00982178" w:rsidRPr="00837D7E" w:rsidRDefault="00982178" w:rsidP="004B7A73">
            <w:r w:rsidRPr="00837D7E">
              <w:t xml:space="preserve">6000 </w:t>
            </w:r>
            <w:r w:rsidR="004B7A73">
              <w:t>Computers, Textbooks, Equipment</w:t>
            </w:r>
          </w:p>
        </w:tc>
        <w:tc>
          <w:tcPr>
            <w:tcW w:w="4410" w:type="dxa"/>
          </w:tcPr>
          <w:p w:rsidR="00982178" w:rsidRPr="00837D7E" w:rsidRDefault="004B7A73" w:rsidP="00E15ED7">
            <w:r>
              <w:t>$237,152</w:t>
            </w:r>
          </w:p>
        </w:tc>
      </w:tr>
      <w:tr w:rsidR="00982178" w:rsidRPr="00837D7E" w:rsidTr="73A68994">
        <w:tblPrEx>
          <w:tblCellMar>
            <w:left w:w="108" w:type="dxa"/>
            <w:right w:w="108" w:type="dxa"/>
          </w:tblCellMar>
        </w:tblPrEx>
        <w:tc>
          <w:tcPr>
            <w:tcW w:w="4675" w:type="dxa"/>
          </w:tcPr>
          <w:p w:rsidR="00982178" w:rsidRPr="00837D7E" w:rsidRDefault="00982178" w:rsidP="002B6163">
            <w:r w:rsidRPr="00837D7E">
              <w:t xml:space="preserve">7000 </w:t>
            </w:r>
            <w:r w:rsidR="002B6163">
              <w:t>Book Vouchers</w:t>
            </w:r>
          </w:p>
        </w:tc>
        <w:tc>
          <w:tcPr>
            <w:tcW w:w="4410" w:type="dxa"/>
          </w:tcPr>
          <w:p w:rsidR="00982178" w:rsidRPr="00837D7E" w:rsidRDefault="73A68994" w:rsidP="00E15ED7">
            <w:r>
              <w:t>$ 23,540</w:t>
            </w:r>
          </w:p>
        </w:tc>
      </w:tr>
      <w:tr w:rsidR="00982178" w:rsidRPr="00837D7E" w:rsidTr="73A68994">
        <w:tblPrEx>
          <w:tblCellMar>
            <w:left w:w="108" w:type="dxa"/>
            <w:right w:w="108" w:type="dxa"/>
          </w:tblCellMar>
        </w:tblPrEx>
        <w:tc>
          <w:tcPr>
            <w:tcW w:w="4675" w:type="dxa"/>
          </w:tcPr>
          <w:p w:rsidR="00982178" w:rsidRPr="00837D7E" w:rsidRDefault="00982178" w:rsidP="00E15ED7">
            <w:pPr>
              <w:jc w:val="center"/>
            </w:pPr>
            <w:r w:rsidRPr="00837D7E">
              <w:t>Total</w:t>
            </w:r>
          </w:p>
        </w:tc>
        <w:tc>
          <w:tcPr>
            <w:tcW w:w="4410" w:type="dxa"/>
          </w:tcPr>
          <w:p w:rsidR="00982178" w:rsidRPr="00837D7E" w:rsidRDefault="00CF265B" w:rsidP="00E15ED7">
            <w:r>
              <w:t>$611,791</w:t>
            </w:r>
          </w:p>
        </w:tc>
      </w:tr>
    </w:tbl>
    <w:p w:rsidR="00982178" w:rsidRPr="00837D7E" w:rsidRDefault="00982178" w:rsidP="00982178"/>
    <w:tbl>
      <w:tblPr>
        <w:tblStyle w:val="TableGrid"/>
        <w:tblW w:w="9085" w:type="dxa"/>
        <w:tblLayout w:type="fixed"/>
        <w:tblCellMar>
          <w:left w:w="115" w:type="dxa"/>
          <w:right w:w="115" w:type="dxa"/>
        </w:tblCellMar>
        <w:tblLook w:val="04A0" w:firstRow="1" w:lastRow="0" w:firstColumn="1" w:lastColumn="0" w:noHBand="0" w:noVBand="1"/>
      </w:tblPr>
      <w:tblGrid>
        <w:gridCol w:w="4675"/>
        <w:gridCol w:w="4410"/>
      </w:tblGrid>
      <w:tr w:rsidR="00982178" w:rsidRPr="00837D7E" w:rsidTr="73A68994">
        <w:tc>
          <w:tcPr>
            <w:tcW w:w="9085" w:type="dxa"/>
            <w:gridSpan w:val="2"/>
            <w:shd w:val="clear" w:color="auto" w:fill="000000" w:themeFill="text1"/>
          </w:tcPr>
          <w:p w:rsidR="00982178" w:rsidRPr="00837D7E" w:rsidRDefault="00982178" w:rsidP="00E15ED7">
            <w:pPr>
              <w:jc w:val="center"/>
              <w:rPr>
                <w:rFonts w:cs="Futura"/>
                <w:color w:val="FFFFFF" w:themeColor="background1"/>
              </w:rPr>
            </w:pPr>
            <w:r w:rsidRPr="00837D7E">
              <w:rPr>
                <w:rFonts w:cs="Futura"/>
                <w:color w:val="FFFFFF" w:themeColor="background1"/>
              </w:rPr>
              <w:t>2016-17 Student Equity Expenditures</w:t>
            </w:r>
          </w:p>
        </w:tc>
      </w:tr>
      <w:tr w:rsidR="00982178" w:rsidRPr="00837D7E" w:rsidTr="73A68994">
        <w:tblPrEx>
          <w:tblCellMar>
            <w:left w:w="108" w:type="dxa"/>
            <w:right w:w="108" w:type="dxa"/>
          </w:tblCellMar>
        </w:tblPrEx>
        <w:tc>
          <w:tcPr>
            <w:tcW w:w="4675" w:type="dxa"/>
            <w:shd w:val="clear" w:color="auto" w:fill="E2EFD9" w:themeFill="accent6" w:themeFillTint="33"/>
            <w:vAlign w:val="center"/>
          </w:tcPr>
          <w:p w:rsidR="00982178" w:rsidRPr="00837D7E" w:rsidRDefault="00982178" w:rsidP="00E15ED7">
            <w:pPr>
              <w:jc w:val="center"/>
              <w:rPr>
                <w:color w:val="0070C0"/>
              </w:rPr>
            </w:pPr>
            <w:r w:rsidRPr="00837D7E">
              <w:rPr>
                <w:rFonts w:cs="Times New Roman"/>
                <w:b/>
              </w:rPr>
              <w:t>Category</w:t>
            </w:r>
          </w:p>
        </w:tc>
        <w:tc>
          <w:tcPr>
            <w:tcW w:w="4410" w:type="dxa"/>
            <w:shd w:val="clear" w:color="auto" w:fill="E2EFD9" w:themeFill="accent6" w:themeFillTint="33"/>
            <w:vAlign w:val="center"/>
          </w:tcPr>
          <w:p w:rsidR="00982178" w:rsidRPr="00837D7E" w:rsidRDefault="00982178" w:rsidP="00E15ED7">
            <w:pPr>
              <w:jc w:val="center"/>
              <w:rPr>
                <w:color w:val="0070C0"/>
              </w:rPr>
            </w:pPr>
            <w:r w:rsidRPr="00837D7E">
              <w:rPr>
                <w:rFonts w:cs="Times New Roman"/>
                <w:b/>
              </w:rPr>
              <w:t>Expenditure</w:t>
            </w:r>
          </w:p>
        </w:tc>
      </w:tr>
      <w:tr w:rsidR="00CF265B" w:rsidRPr="00837D7E" w:rsidTr="73A68994">
        <w:tblPrEx>
          <w:tblCellMar>
            <w:left w:w="108" w:type="dxa"/>
            <w:right w:w="108" w:type="dxa"/>
          </w:tblCellMar>
        </w:tblPrEx>
        <w:tc>
          <w:tcPr>
            <w:tcW w:w="4675" w:type="dxa"/>
          </w:tcPr>
          <w:p w:rsidR="00CF265B" w:rsidRPr="00837D7E" w:rsidRDefault="00CF265B" w:rsidP="00CF265B">
            <w:r>
              <w:t>1000 Dean, Counselors, LC Faculty</w:t>
            </w:r>
          </w:p>
        </w:tc>
        <w:tc>
          <w:tcPr>
            <w:tcW w:w="4410" w:type="dxa"/>
          </w:tcPr>
          <w:p w:rsidR="00CF265B" w:rsidRPr="00837D7E" w:rsidRDefault="00CF265B" w:rsidP="00CF265B">
            <w:r>
              <w:t>$154,378</w:t>
            </w:r>
          </w:p>
        </w:tc>
      </w:tr>
      <w:tr w:rsidR="00CF265B" w:rsidRPr="00837D7E" w:rsidTr="73A68994">
        <w:tblPrEx>
          <w:tblCellMar>
            <w:left w:w="108" w:type="dxa"/>
            <w:right w:w="108" w:type="dxa"/>
          </w:tblCellMar>
        </w:tblPrEx>
        <w:tc>
          <w:tcPr>
            <w:tcW w:w="4675" w:type="dxa"/>
          </w:tcPr>
          <w:p w:rsidR="00CF265B" w:rsidRPr="00837D7E" w:rsidRDefault="00CF265B" w:rsidP="00CF265B">
            <w:r w:rsidRPr="00837D7E">
              <w:t>2000 Classified, Nonacademic Salaries</w:t>
            </w:r>
          </w:p>
        </w:tc>
        <w:tc>
          <w:tcPr>
            <w:tcW w:w="4410" w:type="dxa"/>
          </w:tcPr>
          <w:p w:rsidR="00CF265B" w:rsidRPr="00837D7E" w:rsidRDefault="73A68994" w:rsidP="00CF265B">
            <w:r>
              <w:t>$ 50,064</w:t>
            </w:r>
          </w:p>
        </w:tc>
      </w:tr>
      <w:tr w:rsidR="00CF265B" w:rsidRPr="00837D7E" w:rsidTr="73A68994">
        <w:tblPrEx>
          <w:tblCellMar>
            <w:left w:w="108" w:type="dxa"/>
            <w:right w:w="108" w:type="dxa"/>
          </w:tblCellMar>
        </w:tblPrEx>
        <w:tc>
          <w:tcPr>
            <w:tcW w:w="4675" w:type="dxa"/>
          </w:tcPr>
          <w:p w:rsidR="00CF265B" w:rsidRPr="00837D7E" w:rsidRDefault="00CF265B" w:rsidP="00CF265B">
            <w:r w:rsidRPr="00837D7E">
              <w:t>3000 Employee Benefits</w:t>
            </w:r>
          </w:p>
        </w:tc>
        <w:tc>
          <w:tcPr>
            <w:tcW w:w="4410" w:type="dxa"/>
          </w:tcPr>
          <w:p w:rsidR="00CF265B" w:rsidRPr="00837D7E" w:rsidRDefault="73A68994" w:rsidP="00CF265B">
            <w:r>
              <w:t>$ 33,400</w:t>
            </w:r>
          </w:p>
        </w:tc>
      </w:tr>
      <w:tr w:rsidR="00CF265B" w:rsidRPr="00837D7E" w:rsidTr="73A68994">
        <w:tblPrEx>
          <w:tblCellMar>
            <w:left w:w="108" w:type="dxa"/>
            <w:right w:w="108" w:type="dxa"/>
          </w:tblCellMar>
        </w:tblPrEx>
        <w:tc>
          <w:tcPr>
            <w:tcW w:w="4675" w:type="dxa"/>
          </w:tcPr>
          <w:p w:rsidR="00CF265B" w:rsidRPr="00837D7E" w:rsidRDefault="00CF265B" w:rsidP="00CF265B">
            <w:r w:rsidRPr="00837D7E">
              <w:t>4000 Supplies and Materials</w:t>
            </w:r>
          </w:p>
        </w:tc>
        <w:tc>
          <w:tcPr>
            <w:tcW w:w="4410" w:type="dxa"/>
          </w:tcPr>
          <w:p w:rsidR="00CF265B" w:rsidRPr="00837D7E" w:rsidRDefault="73A68994" w:rsidP="00CF265B">
            <w:r>
              <w:t>$ 17,173</w:t>
            </w:r>
          </w:p>
        </w:tc>
      </w:tr>
      <w:tr w:rsidR="00CF265B" w:rsidRPr="00837D7E" w:rsidTr="73A68994">
        <w:tblPrEx>
          <w:tblCellMar>
            <w:left w:w="108" w:type="dxa"/>
            <w:right w:w="108" w:type="dxa"/>
          </w:tblCellMar>
        </w:tblPrEx>
        <w:tc>
          <w:tcPr>
            <w:tcW w:w="4675" w:type="dxa"/>
          </w:tcPr>
          <w:p w:rsidR="00CF265B" w:rsidRPr="00837D7E" w:rsidRDefault="00CF265B" w:rsidP="00CF265B">
            <w:r w:rsidRPr="00837D7E">
              <w:t xml:space="preserve">5000 </w:t>
            </w:r>
            <w:r>
              <w:t>Guest Speakers, Travel, Publications</w:t>
            </w:r>
          </w:p>
        </w:tc>
        <w:tc>
          <w:tcPr>
            <w:tcW w:w="4410" w:type="dxa"/>
          </w:tcPr>
          <w:p w:rsidR="00CF265B" w:rsidRPr="00837D7E" w:rsidRDefault="73A68994" w:rsidP="00CF265B">
            <w:r>
              <w:t>$ 55,923</w:t>
            </w:r>
          </w:p>
        </w:tc>
      </w:tr>
      <w:tr w:rsidR="00CF265B" w:rsidRPr="00837D7E" w:rsidTr="73A68994">
        <w:tblPrEx>
          <w:tblCellMar>
            <w:left w:w="108" w:type="dxa"/>
            <w:right w:w="108" w:type="dxa"/>
          </w:tblCellMar>
        </w:tblPrEx>
        <w:tc>
          <w:tcPr>
            <w:tcW w:w="4675" w:type="dxa"/>
          </w:tcPr>
          <w:p w:rsidR="00CF265B" w:rsidRPr="00837D7E" w:rsidRDefault="00CF265B" w:rsidP="00CF265B">
            <w:r w:rsidRPr="00837D7E">
              <w:t xml:space="preserve">6000 </w:t>
            </w:r>
            <w:r>
              <w:t>Computers, Textbooks, Equipment</w:t>
            </w:r>
          </w:p>
        </w:tc>
        <w:tc>
          <w:tcPr>
            <w:tcW w:w="4410" w:type="dxa"/>
          </w:tcPr>
          <w:p w:rsidR="00CF265B" w:rsidRPr="00837D7E" w:rsidRDefault="00667245" w:rsidP="00CF265B">
            <w:r>
              <w:t>$149,251</w:t>
            </w:r>
          </w:p>
        </w:tc>
      </w:tr>
      <w:tr w:rsidR="00CF265B" w:rsidRPr="00837D7E" w:rsidTr="73A68994">
        <w:tblPrEx>
          <w:tblCellMar>
            <w:left w:w="108" w:type="dxa"/>
            <w:right w:w="108" w:type="dxa"/>
          </w:tblCellMar>
        </w:tblPrEx>
        <w:tc>
          <w:tcPr>
            <w:tcW w:w="4675" w:type="dxa"/>
          </w:tcPr>
          <w:p w:rsidR="00CF265B" w:rsidRPr="00837D7E" w:rsidRDefault="00CF265B" w:rsidP="00CF265B">
            <w:r w:rsidRPr="00837D7E">
              <w:t xml:space="preserve">7000 </w:t>
            </w:r>
            <w:r>
              <w:t>Book Vouchers</w:t>
            </w:r>
          </w:p>
        </w:tc>
        <w:tc>
          <w:tcPr>
            <w:tcW w:w="4410" w:type="dxa"/>
          </w:tcPr>
          <w:p w:rsidR="00CF265B" w:rsidRPr="00837D7E" w:rsidRDefault="73A68994" w:rsidP="00CF265B">
            <w:r>
              <w:t>$ 45,861</w:t>
            </w:r>
          </w:p>
        </w:tc>
      </w:tr>
      <w:tr w:rsidR="00CF265B" w:rsidRPr="00837D7E" w:rsidTr="73A68994">
        <w:tblPrEx>
          <w:tblCellMar>
            <w:left w:w="108" w:type="dxa"/>
            <w:right w:w="108" w:type="dxa"/>
          </w:tblCellMar>
        </w:tblPrEx>
        <w:tc>
          <w:tcPr>
            <w:tcW w:w="4675" w:type="dxa"/>
          </w:tcPr>
          <w:p w:rsidR="00CF265B" w:rsidRPr="00837D7E" w:rsidRDefault="00CF265B" w:rsidP="00CF265B">
            <w:r w:rsidRPr="00837D7E">
              <w:t>Total</w:t>
            </w:r>
          </w:p>
        </w:tc>
        <w:tc>
          <w:tcPr>
            <w:tcW w:w="4410" w:type="dxa"/>
          </w:tcPr>
          <w:p w:rsidR="00CF265B" w:rsidRPr="00837D7E" w:rsidRDefault="00667245" w:rsidP="00CF265B">
            <w:r>
              <w:t>$506,050</w:t>
            </w:r>
          </w:p>
        </w:tc>
      </w:tr>
    </w:tbl>
    <w:p w:rsidR="00982178" w:rsidRPr="00837D7E" w:rsidRDefault="00982178" w:rsidP="00982178"/>
    <w:tbl>
      <w:tblPr>
        <w:tblStyle w:val="TableGrid"/>
        <w:tblW w:w="9085" w:type="dxa"/>
        <w:tblLayout w:type="fixed"/>
        <w:tblCellMar>
          <w:left w:w="115" w:type="dxa"/>
          <w:right w:w="115" w:type="dxa"/>
        </w:tblCellMar>
        <w:tblLook w:val="04A0" w:firstRow="1" w:lastRow="0" w:firstColumn="1" w:lastColumn="0" w:noHBand="0" w:noVBand="1"/>
      </w:tblPr>
      <w:tblGrid>
        <w:gridCol w:w="4675"/>
        <w:gridCol w:w="4410"/>
      </w:tblGrid>
      <w:tr w:rsidR="00982178" w:rsidRPr="00837D7E" w:rsidTr="73A68994">
        <w:tc>
          <w:tcPr>
            <w:tcW w:w="9085" w:type="dxa"/>
            <w:gridSpan w:val="2"/>
            <w:shd w:val="clear" w:color="auto" w:fill="000000" w:themeFill="text1"/>
          </w:tcPr>
          <w:p w:rsidR="00982178" w:rsidRPr="00837D7E" w:rsidRDefault="00982178" w:rsidP="00E15ED7">
            <w:pPr>
              <w:jc w:val="center"/>
              <w:rPr>
                <w:rFonts w:cs="Futura"/>
                <w:color w:val="FFFFFF" w:themeColor="background1"/>
              </w:rPr>
            </w:pPr>
            <w:r w:rsidRPr="00837D7E">
              <w:rPr>
                <w:rFonts w:cs="Futura"/>
                <w:color w:val="FFFFFF" w:themeColor="background1"/>
              </w:rPr>
              <w:t>201</w:t>
            </w:r>
            <w:r>
              <w:rPr>
                <w:rFonts w:cs="Futura"/>
                <w:color w:val="FFFFFF" w:themeColor="background1"/>
              </w:rPr>
              <w:t>7</w:t>
            </w:r>
            <w:r w:rsidRPr="00837D7E">
              <w:rPr>
                <w:rFonts w:cs="Futura"/>
                <w:color w:val="FFFFFF" w:themeColor="background1"/>
              </w:rPr>
              <w:t>-1</w:t>
            </w:r>
            <w:r>
              <w:rPr>
                <w:rFonts w:cs="Futura"/>
                <w:color w:val="FFFFFF" w:themeColor="background1"/>
              </w:rPr>
              <w:t>8</w:t>
            </w:r>
            <w:r w:rsidRPr="00837D7E">
              <w:rPr>
                <w:rFonts w:cs="Futura"/>
                <w:color w:val="FFFFFF" w:themeColor="background1"/>
              </w:rPr>
              <w:t xml:space="preserve"> Student Equity Expenditures</w:t>
            </w:r>
          </w:p>
        </w:tc>
      </w:tr>
      <w:tr w:rsidR="00982178" w:rsidRPr="00837D7E" w:rsidTr="73A68994">
        <w:tblPrEx>
          <w:tblCellMar>
            <w:left w:w="108" w:type="dxa"/>
            <w:right w:w="108" w:type="dxa"/>
          </w:tblCellMar>
        </w:tblPrEx>
        <w:tc>
          <w:tcPr>
            <w:tcW w:w="4675" w:type="dxa"/>
            <w:shd w:val="clear" w:color="auto" w:fill="E2EFD9" w:themeFill="accent6" w:themeFillTint="33"/>
            <w:vAlign w:val="center"/>
          </w:tcPr>
          <w:p w:rsidR="00982178" w:rsidRPr="00837D7E" w:rsidRDefault="00982178" w:rsidP="00E15ED7">
            <w:pPr>
              <w:jc w:val="center"/>
              <w:rPr>
                <w:color w:val="0070C0"/>
              </w:rPr>
            </w:pPr>
            <w:r w:rsidRPr="00837D7E">
              <w:rPr>
                <w:rFonts w:cs="Times New Roman"/>
                <w:b/>
              </w:rPr>
              <w:t>Category</w:t>
            </w:r>
          </w:p>
        </w:tc>
        <w:tc>
          <w:tcPr>
            <w:tcW w:w="4410" w:type="dxa"/>
            <w:shd w:val="clear" w:color="auto" w:fill="E2EFD9" w:themeFill="accent6" w:themeFillTint="33"/>
            <w:vAlign w:val="center"/>
          </w:tcPr>
          <w:p w:rsidR="00982178" w:rsidRPr="00837D7E" w:rsidRDefault="00982178" w:rsidP="00E15ED7">
            <w:pPr>
              <w:jc w:val="center"/>
              <w:rPr>
                <w:color w:val="0070C0"/>
              </w:rPr>
            </w:pPr>
            <w:r w:rsidRPr="00837D7E">
              <w:rPr>
                <w:rFonts w:cs="Times New Roman"/>
                <w:b/>
              </w:rPr>
              <w:t>Expenditure</w:t>
            </w:r>
          </w:p>
        </w:tc>
      </w:tr>
      <w:tr w:rsidR="00667245" w:rsidRPr="00837D7E" w:rsidTr="73A68994">
        <w:tblPrEx>
          <w:tblCellMar>
            <w:left w:w="108" w:type="dxa"/>
            <w:right w:w="108" w:type="dxa"/>
          </w:tblCellMar>
        </w:tblPrEx>
        <w:tc>
          <w:tcPr>
            <w:tcW w:w="4675" w:type="dxa"/>
          </w:tcPr>
          <w:p w:rsidR="00667245" w:rsidRPr="00837D7E" w:rsidRDefault="00667245" w:rsidP="00667245">
            <w:r>
              <w:t>1000 Dean, Counselors, LC Faculty</w:t>
            </w:r>
          </w:p>
        </w:tc>
        <w:tc>
          <w:tcPr>
            <w:tcW w:w="4410" w:type="dxa"/>
          </w:tcPr>
          <w:p w:rsidR="00667245" w:rsidRPr="00837D7E" w:rsidRDefault="00667245" w:rsidP="00667245">
            <w:r>
              <w:t>$141,276</w:t>
            </w:r>
          </w:p>
        </w:tc>
      </w:tr>
      <w:tr w:rsidR="00667245" w:rsidRPr="00837D7E" w:rsidTr="73A68994">
        <w:tblPrEx>
          <w:tblCellMar>
            <w:left w:w="108" w:type="dxa"/>
            <w:right w:w="108" w:type="dxa"/>
          </w:tblCellMar>
        </w:tblPrEx>
        <w:tc>
          <w:tcPr>
            <w:tcW w:w="4675" w:type="dxa"/>
          </w:tcPr>
          <w:p w:rsidR="00667245" w:rsidRPr="00837D7E" w:rsidRDefault="00667245" w:rsidP="00667245">
            <w:r w:rsidRPr="00837D7E">
              <w:t>2000 Classified, Nonacademic Salaries</w:t>
            </w:r>
          </w:p>
        </w:tc>
        <w:tc>
          <w:tcPr>
            <w:tcW w:w="4410" w:type="dxa"/>
          </w:tcPr>
          <w:p w:rsidR="00667245" w:rsidRPr="00837D7E" w:rsidRDefault="00667245" w:rsidP="00667245">
            <w:r>
              <w:t>$204,979</w:t>
            </w:r>
          </w:p>
        </w:tc>
      </w:tr>
      <w:tr w:rsidR="00667245" w:rsidRPr="00837D7E" w:rsidTr="73A68994">
        <w:tblPrEx>
          <w:tblCellMar>
            <w:left w:w="108" w:type="dxa"/>
            <w:right w:w="108" w:type="dxa"/>
          </w:tblCellMar>
        </w:tblPrEx>
        <w:tc>
          <w:tcPr>
            <w:tcW w:w="4675" w:type="dxa"/>
          </w:tcPr>
          <w:p w:rsidR="00667245" w:rsidRPr="00837D7E" w:rsidRDefault="00667245" w:rsidP="00667245">
            <w:r w:rsidRPr="00837D7E">
              <w:t>3000 Employee Benefits</w:t>
            </w:r>
          </w:p>
        </w:tc>
        <w:tc>
          <w:tcPr>
            <w:tcW w:w="4410" w:type="dxa"/>
          </w:tcPr>
          <w:p w:rsidR="00667245" w:rsidRPr="00837D7E" w:rsidRDefault="73A68994" w:rsidP="00667245">
            <w:r>
              <w:t>$ 52,174</w:t>
            </w:r>
          </w:p>
        </w:tc>
      </w:tr>
      <w:tr w:rsidR="00667245" w:rsidRPr="00837D7E" w:rsidTr="73A68994">
        <w:tblPrEx>
          <w:tblCellMar>
            <w:left w:w="108" w:type="dxa"/>
            <w:right w:w="108" w:type="dxa"/>
          </w:tblCellMar>
        </w:tblPrEx>
        <w:tc>
          <w:tcPr>
            <w:tcW w:w="4675" w:type="dxa"/>
          </w:tcPr>
          <w:p w:rsidR="00667245" w:rsidRPr="00837D7E" w:rsidRDefault="00667245" w:rsidP="00667245">
            <w:r w:rsidRPr="00837D7E">
              <w:t>4000 Supplies and Materials</w:t>
            </w:r>
          </w:p>
        </w:tc>
        <w:tc>
          <w:tcPr>
            <w:tcW w:w="4410" w:type="dxa"/>
          </w:tcPr>
          <w:p w:rsidR="00667245" w:rsidRPr="00837D7E" w:rsidRDefault="73A68994" w:rsidP="00667245">
            <w:r>
              <w:t>$ 13,804</w:t>
            </w:r>
          </w:p>
        </w:tc>
      </w:tr>
      <w:tr w:rsidR="00667245" w:rsidRPr="00837D7E" w:rsidTr="73A68994">
        <w:tblPrEx>
          <w:tblCellMar>
            <w:left w:w="108" w:type="dxa"/>
            <w:right w:w="108" w:type="dxa"/>
          </w:tblCellMar>
        </w:tblPrEx>
        <w:tc>
          <w:tcPr>
            <w:tcW w:w="4675" w:type="dxa"/>
          </w:tcPr>
          <w:p w:rsidR="00667245" w:rsidRPr="00837D7E" w:rsidRDefault="00667245" w:rsidP="00667245">
            <w:r w:rsidRPr="00837D7E">
              <w:t xml:space="preserve">5000 </w:t>
            </w:r>
            <w:r>
              <w:t>Guest Speakers, Travel, Publications</w:t>
            </w:r>
          </w:p>
        </w:tc>
        <w:tc>
          <w:tcPr>
            <w:tcW w:w="4410" w:type="dxa"/>
          </w:tcPr>
          <w:p w:rsidR="00667245" w:rsidRPr="00837D7E" w:rsidRDefault="00667245" w:rsidP="00667245">
            <w:r>
              <w:t>$    6,564</w:t>
            </w:r>
          </w:p>
        </w:tc>
      </w:tr>
      <w:tr w:rsidR="00667245" w:rsidRPr="00837D7E" w:rsidTr="73A68994">
        <w:tblPrEx>
          <w:tblCellMar>
            <w:left w:w="108" w:type="dxa"/>
            <w:right w:w="108" w:type="dxa"/>
          </w:tblCellMar>
        </w:tblPrEx>
        <w:tc>
          <w:tcPr>
            <w:tcW w:w="4675" w:type="dxa"/>
          </w:tcPr>
          <w:p w:rsidR="00667245" w:rsidRPr="00837D7E" w:rsidRDefault="00667245" w:rsidP="00667245">
            <w:r w:rsidRPr="00837D7E">
              <w:t xml:space="preserve">6000 </w:t>
            </w:r>
            <w:r>
              <w:t>Computers, Textbooks, Equipment</w:t>
            </w:r>
          </w:p>
        </w:tc>
        <w:tc>
          <w:tcPr>
            <w:tcW w:w="4410" w:type="dxa"/>
          </w:tcPr>
          <w:p w:rsidR="00667245" w:rsidRPr="00837D7E" w:rsidRDefault="00667245" w:rsidP="00667245">
            <w:r>
              <w:t>$            0</w:t>
            </w:r>
          </w:p>
        </w:tc>
      </w:tr>
      <w:tr w:rsidR="00667245" w:rsidRPr="00837D7E" w:rsidTr="73A68994">
        <w:tblPrEx>
          <w:tblCellMar>
            <w:left w:w="108" w:type="dxa"/>
            <w:right w:w="108" w:type="dxa"/>
          </w:tblCellMar>
        </w:tblPrEx>
        <w:tc>
          <w:tcPr>
            <w:tcW w:w="4675" w:type="dxa"/>
          </w:tcPr>
          <w:p w:rsidR="00667245" w:rsidRPr="00837D7E" w:rsidRDefault="00667245" w:rsidP="00667245">
            <w:r w:rsidRPr="00837D7E">
              <w:t xml:space="preserve">7000 </w:t>
            </w:r>
            <w:r>
              <w:t>Book Vouchers</w:t>
            </w:r>
          </w:p>
        </w:tc>
        <w:tc>
          <w:tcPr>
            <w:tcW w:w="4410" w:type="dxa"/>
          </w:tcPr>
          <w:p w:rsidR="00667245" w:rsidRPr="00837D7E" w:rsidRDefault="00667245" w:rsidP="00667245">
            <w:r>
              <w:t>$   3,367</w:t>
            </w:r>
          </w:p>
        </w:tc>
      </w:tr>
      <w:tr w:rsidR="00667245" w:rsidRPr="00837D7E" w:rsidTr="73A68994">
        <w:tblPrEx>
          <w:tblCellMar>
            <w:left w:w="108" w:type="dxa"/>
            <w:right w:w="108" w:type="dxa"/>
          </w:tblCellMar>
        </w:tblPrEx>
        <w:tc>
          <w:tcPr>
            <w:tcW w:w="4675" w:type="dxa"/>
          </w:tcPr>
          <w:p w:rsidR="00667245" w:rsidRPr="00837D7E" w:rsidRDefault="00667245" w:rsidP="00667245">
            <w:r>
              <w:t xml:space="preserve">                                         Total</w:t>
            </w:r>
          </w:p>
        </w:tc>
        <w:tc>
          <w:tcPr>
            <w:tcW w:w="4410" w:type="dxa"/>
          </w:tcPr>
          <w:p w:rsidR="00667245" w:rsidRPr="00837D7E" w:rsidRDefault="00667245" w:rsidP="00667245">
            <w:r>
              <w:t>$422,165</w:t>
            </w:r>
          </w:p>
        </w:tc>
      </w:tr>
    </w:tbl>
    <w:p w:rsidR="00BF0500" w:rsidRDefault="00BF0500"/>
    <w:p w:rsidR="003C424D" w:rsidRPr="003C424D" w:rsidRDefault="003C424D">
      <w:pPr>
        <w:rPr>
          <w:b/>
        </w:rPr>
      </w:pPr>
      <w:r w:rsidRPr="003C424D">
        <w:rPr>
          <w:b/>
        </w:rPr>
        <w:t>Analysis of Past Expenditures</w:t>
      </w:r>
    </w:p>
    <w:sectPr w:rsidR="003C424D" w:rsidRPr="003C42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D09" w:rsidRDefault="000C6D09" w:rsidP="000B3150">
      <w:pPr>
        <w:spacing w:after="0" w:line="240" w:lineRule="auto"/>
      </w:pPr>
      <w:r>
        <w:separator/>
      </w:r>
    </w:p>
  </w:endnote>
  <w:endnote w:type="continuationSeparator" w:id="0">
    <w:p w:rsidR="000C6D09" w:rsidRDefault="000C6D09" w:rsidP="000B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utura">
    <w:altName w:val="Segoe UI"/>
    <w:charset w:val="00"/>
    <w:family w:val="swiss"/>
    <w:pitch w:val="variable"/>
    <w:sig w:usb0="A00002EF" w:usb1="5000214A"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D09" w:rsidRDefault="000C6D09" w:rsidP="000B3150">
      <w:pPr>
        <w:spacing w:after="0" w:line="240" w:lineRule="auto"/>
      </w:pPr>
      <w:r>
        <w:separator/>
      </w:r>
    </w:p>
  </w:footnote>
  <w:footnote w:type="continuationSeparator" w:id="0">
    <w:p w:rsidR="000C6D09" w:rsidRDefault="000C6D09" w:rsidP="000B3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070630"/>
      <w:docPartObj>
        <w:docPartGallery w:val="Watermarks"/>
        <w:docPartUnique/>
      </w:docPartObj>
    </w:sdtPr>
    <w:sdtEndPr/>
    <w:sdtContent>
      <w:p w:rsidR="000B3150" w:rsidRDefault="000C6D09">
        <w:pPr>
          <w:pStyle w:val="Header"/>
        </w:pPr>
        <w:r>
          <w:rPr>
            <w:noProof/>
          </w:rPr>
          <w:pict w14:anchorId="1F92D0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2B53"/>
    <w:multiLevelType w:val="hybridMultilevel"/>
    <w:tmpl w:val="BA2CD4B0"/>
    <w:lvl w:ilvl="0" w:tplc="E0FC9F98">
      <w:start w:val="1"/>
      <w:numFmt w:val="bullet"/>
      <w:lvlText w:val=""/>
      <w:lvlJc w:val="left"/>
      <w:pPr>
        <w:ind w:left="720" w:hanging="360"/>
      </w:pPr>
      <w:rPr>
        <w:rFonts w:ascii="Symbol" w:hAnsi="Symbol" w:hint="default"/>
      </w:rPr>
    </w:lvl>
    <w:lvl w:ilvl="1" w:tplc="FBD6EEC8">
      <w:start w:val="1"/>
      <w:numFmt w:val="bullet"/>
      <w:lvlText w:val="o"/>
      <w:lvlJc w:val="left"/>
      <w:pPr>
        <w:ind w:left="1440" w:hanging="360"/>
      </w:pPr>
      <w:rPr>
        <w:rFonts w:ascii="Courier New" w:hAnsi="Courier New" w:hint="default"/>
      </w:rPr>
    </w:lvl>
    <w:lvl w:ilvl="2" w:tplc="07245000">
      <w:start w:val="1"/>
      <w:numFmt w:val="bullet"/>
      <w:lvlText w:val=""/>
      <w:lvlJc w:val="left"/>
      <w:pPr>
        <w:ind w:left="2160" w:hanging="360"/>
      </w:pPr>
      <w:rPr>
        <w:rFonts w:ascii="Wingdings" w:hAnsi="Wingdings" w:hint="default"/>
      </w:rPr>
    </w:lvl>
    <w:lvl w:ilvl="3" w:tplc="7CD21100">
      <w:start w:val="1"/>
      <w:numFmt w:val="bullet"/>
      <w:lvlText w:val=""/>
      <w:lvlJc w:val="left"/>
      <w:pPr>
        <w:ind w:left="2880" w:hanging="360"/>
      </w:pPr>
      <w:rPr>
        <w:rFonts w:ascii="Symbol" w:hAnsi="Symbol" w:hint="default"/>
      </w:rPr>
    </w:lvl>
    <w:lvl w:ilvl="4" w:tplc="83305EF6">
      <w:start w:val="1"/>
      <w:numFmt w:val="bullet"/>
      <w:lvlText w:val="o"/>
      <w:lvlJc w:val="left"/>
      <w:pPr>
        <w:ind w:left="3600" w:hanging="360"/>
      </w:pPr>
      <w:rPr>
        <w:rFonts w:ascii="Courier New" w:hAnsi="Courier New" w:hint="default"/>
      </w:rPr>
    </w:lvl>
    <w:lvl w:ilvl="5" w:tplc="922635B4">
      <w:start w:val="1"/>
      <w:numFmt w:val="bullet"/>
      <w:lvlText w:val=""/>
      <w:lvlJc w:val="left"/>
      <w:pPr>
        <w:ind w:left="4320" w:hanging="360"/>
      </w:pPr>
      <w:rPr>
        <w:rFonts w:ascii="Wingdings" w:hAnsi="Wingdings" w:hint="default"/>
      </w:rPr>
    </w:lvl>
    <w:lvl w:ilvl="6" w:tplc="923C8432">
      <w:start w:val="1"/>
      <w:numFmt w:val="bullet"/>
      <w:lvlText w:val=""/>
      <w:lvlJc w:val="left"/>
      <w:pPr>
        <w:ind w:left="5040" w:hanging="360"/>
      </w:pPr>
      <w:rPr>
        <w:rFonts w:ascii="Symbol" w:hAnsi="Symbol" w:hint="default"/>
      </w:rPr>
    </w:lvl>
    <w:lvl w:ilvl="7" w:tplc="0E80B884">
      <w:start w:val="1"/>
      <w:numFmt w:val="bullet"/>
      <w:lvlText w:val="o"/>
      <w:lvlJc w:val="left"/>
      <w:pPr>
        <w:ind w:left="5760" w:hanging="360"/>
      </w:pPr>
      <w:rPr>
        <w:rFonts w:ascii="Courier New" w:hAnsi="Courier New" w:hint="default"/>
      </w:rPr>
    </w:lvl>
    <w:lvl w:ilvl="8" w:tplc="46DA6746">
      <w:start w:val="1"/>
      <w:numFmt w:val="bullet"/>
      <w:lvlText w:val=""/>
      <w:lvlJc w:val="left"/>
      <w:pPr>
        <w:ind w:left="6480" w:hanging="360"/>
      </w:pPr>
      <w:rPr>
        <w:rFonts w:ascii="Wingdings" w:hAnsi="Wingdings" w:hint="default"/>
      </w:rPr>
    </w:lvl>
  </w:abstractNum>
  <w:abstractNum w:abstractNumId="1" w15:restartNumberingAfterBreak="0">
    <w:nsid w:val="1CB208DD"/>
    <w:multiLevelType w:val="hybridMultilevel"/>
    <w:tmpl w:val="53009CEA"/>
    <w:lvl w:ilvl="0" w:tplc="4746B186">
      <w:start w:val="1"/>
      <w:numFmt w:val="bullet"/>
      <w:lvlText w:val=""/>
      <w:lvlJc w:val="left"/>
      <w:pPr>
        <w:ind w:left="720" w:hanging="360"/>
      </w:pPr>
      <w:rPr>
        <w:rFonts w:ascii="Symbol" w:hAnsi="Symbol" w:hint="default"/>
      </w:rPr>
    </w:lvl>
    <w:lvl w:ilvl="1" w:tplc="FCE6A46A">
      <w:start w:val="1"/>
      <w:numFmt w:val="bullet"/>
      <w:lvlText w:val="o"/>
      <w:lvlJc w:val="left"/>
      <w:pPr>
        <w:ind w:left="1440" w:hanging="360"/>
      </w:pPr>
      <w:rPr>
        <w:rFonts w:ascii="Courier New" w:hAnsi="Courier New" w:hint="default"/>
      </w:rPr>
    </w:lvl>
    <w:lvl w:ilvl="2" w:tplc="184EDECE">
      <w:start w:val="1"/>
      <w:numFmt w:val="bullet"/>
      <w:lvlText w:val=""/>
      <w:lvlJc w:val="left"/>
      <w:pPr>
        <w:ind w:left="2160" w:hanging="360"/>
      </w:pPr>
      <w:rPr>
        <w:rFonts w:ascii="Wingdings" w:hAnsi="Wingdings" w:hint="default"/>
      </w:rPr>
    </w:lvl>
    <w:lvl w:ilvl="3" w:tplc="46827574">
      <w:start w:val="1"/>
      <w:numFmt w:val="bullet"/>
      <w:lvlText w:val=""/>
      <w:lvlJc w:val="left"/>
      <w:pPr>
        <w:ind w:left="2880" w:hanging="360"/>
      </w:pPr>
      <w:rPr>
        <w:rFonts w:ascii="Symbol" w:hAnsi="Symbol" w:hint="default"/>
      </w:rPr>
    </w:lvl>
    <w:lvl w:ilvl="4" w:tplc="6770C840">
      <w:start w:val="1"/>
      <w:numFmt w:val="bullet"/>
      <w:lvlText w:val="o"/>
      <w:lvlJc w:val="left"/>
      <w:pPr>
        <w:ind w:left="3600" w:hanging="360"/>
      </w:pPr>
      <w:rPr>
        <w:rFonts w:ascii="Courier New" w:hAnsi="Courier New" w:hint="default"/>
      </w:rPr>
    </w:lvl>
    <w:lvl w:ilvl="5" w:tplc="DEE23EE0">
      <w:start w:val="1"/>
      <w:numFmt w:val="bullet"/>
      <w:lvlText w:val=""/>
      <w:lvlJc w:val="left"/>
      <w:pPr>
        <w:ind w:left="4320" w:hanging="360"/>
      </w:pPr>
      <w:rPr>
        <w:rFonts w:ascii="Wingdings" w:hAnsi="Wingdings" w:hint="default"/>
      </w:rPr>
    </w:lvl>
    <w:lvl w:ilvl="6" w:tplc="9AD8E802">
      <w:start w:val="1"/>
      <w:numFmt w:val="bullet"/>
      <w:lvlText w:val=""/>
      <w:lvlJc w:val="left"/>
      <w:pPr>
        <w:ind w:left="5040" w:hanging="360"/>
      </w:pPr>
      <w:rPr>
        <w:rFonts w:ascii="Symbol" w:hAnsi="Symbol" w:hint="default"/>
      </w:rPr>
    </w:lvl>
    <w:lvl w:ilvl="7" w:tplc="4896026C">
      <w:start w:val="1"/>
      <w:numFmt w:val="bullet"/>
      <w:lvlText w:val="o"/>
      <w:lvlJc w:val="left"/>
      <w:pPr>
        <w:ind w:left="5760" w:hanging="360"/>
      </w:pPr>
      <w:rPr>
        <w:rFonts w:ascii="Courier New" w:hAnsi="Courier New" w:hint="default"/>
      </w:rPr>
    </w:lvl>
    <w:lvl w:ilvl="8" w:tplc="5EAA32A2">
      <w:start w:val="1"/>
      <w:numFmt w:val="bullet"/>
      <w:lvlText w:val=""/>
      <w:lvlJc w:val="left"/>
      <w:pPr>
        <w:ind w:left="6480" w:hanging="360"/>
      </w:pPr>
      <w:rPr>
        <w:rFonts w:ascii="Wingdings" w:hAnsi="Wingdings" w:hint="default"/>
      </w:rPr>
    </w:lvl>
  </w:abstractNum>
  <w:abstractNum w:abstractNumId="2" w15:restartNumberingAfterBreak="0">
    <w:nsid w:val="1FA946E5"/>
    <w:multiLevelType w:val="hybridMultilevel"/>
    <w:tmpl w:val="2202F66E"/>
    <w:lvl w:ilvl="0" w:tplc="6144F63A">
      <w:start w:val="1"/>
      <w:numFmt w:val="bullet"/>
      <w:lvlText w:val=""/>
      <w:lvlJc w:val="left"/>
      <w:pPr>
        <w:ind w:left="720" w:hanging="360"/>
      </w:pPr>
      <w:rPr>
        <w:rFonts w:ascii="Symbol" w:hAnsi="Symbol" w:hint="default"/>
      </w:rPr>
    </w:lvl>
    <w:lvl w:ilvl="1" w:tplc="A61C10EA">
      <w:start w:val="1"/>
      <w:numFmt w:val="bullet"/>
      <w:lvlText w:val="o"/>
      <w:lvlJc w:val="left"/>
      <w:pPr>
        <w:ind w:left="1440" w:hanging="360"/>
      </w:pPr>
      <w:rPr>
        <w:rFonts w:ascii="Courier New" w:hAnsi="Courier New" w:hint="default"/>
      </w:rPr>
    </w:lvl>
    <w:lvl w:ilvl="2" w:tplc="679EB28A">
      <w:start w:val="1"/>
      <w:numFmt w:val="bullet"/>
      <w:lvlText w:val=""/>
      <w:lvlJc w:val="left"/>
      <w:pPr>
        <w:ind w:left="2160" w:hanging="360"/>
      </w:pPr>
      <w:rPr>
        <w:rFonts w:ascii="Wingdings" w:hAnsi="Wingdings" w:hint="default"/>
      </w:rPr>
    </w:lvl>
    <w:lvl w:ilvl="3" w:tplc="E30CF30A">
      <w:start w:val="1"/>
      <w:numFmt w:val="bullet"/>
      <w:lvlText w:val=""/>
      <w:lvlJc w:val="left"/>
      <w:pPr>
        <w:ind w:left="2880" w:hanging="360"/>
      </w:pPr>
      <w:rPr>
        <w:rFonts w:ascii="Symbol" w:hAnsi="Symbol" w:hint="default"/>
      </w:rPr>
    </w:lvl>
    <w:lvl w:ilvl="4" w:tplc="641E7070">
      <w:start w:val="1"/>
      <w:numFmt w:val="bullet"/>
      <w:lvlText w:val="o"/>
      <w:lvlJc w:val="left"/>
      <w:pPr>
        <w:ind w:left="3600" w:hanging="360"/>
      </w:pPr>
      <w:rPr>
        <w:rFonts w:ascii="Courier New" w:hAnsi="Courier New" w:hint="default"/>
      </w:rPr>
    </w:lvl>
    <w:lvl w:ilvl="5" w:tplc="E3BC38D0">
      <w:start w:val="1"/>
      <w:numFmt w:val="bullet"/>
      <w:lvlText w:val=""/>
      <w:lvlJc w:val="left"/>
      <w:pPr>
        <w:ind w:left="4320" w:hanging="360"/>
      </w:pPr>
      <w:rPr>
        <w:rFonts w:ascii="Wingdings" w:hAnsi="Wingdings" w:hint="default"/>
      </w:rPr>
    </w:lvl>
    <w:lvl w:ilvl="6" w:tplc="08006C5C">
      <w:start w:val="1"/>
      <w:numFmt w:val="bullet"/>
      <w:lvlText w:val=""/>
      <w:lvlJc w:val="left"/>
      <w:pPr>
        <w:ind w:left="5040" w:hanging="360"/>
      </w:pPr>
      <w:rPr>
        <w:rFonts w:ascii="Symbol" w:hAnsi="Symbol" w:hint="default"/>
      </w:rPr>
    </w:lvl>
    <w:lvl w:ilvl="7" w:tplc="6582C216">
      <w:start w:val="1"/>
      <w:numFmt w:val="bullet"/>
      <w:lvlText w:val="o"/>
      <w:lvlJc w:val="left"/>
      <w:pPr>
        <w:ind w:left="5760" w:hanging="360"/>
      </w:pPr>
      <w:rPr>
        <w:rFonts w:ascii="Courier New" w:hAnsi="Courier New" w:hint="default"/>
      </w:rPr>
    </w:lvl>
    <w:lvl w:ilvl="8" w:tplc="45BA77BE">
      <w:start w:val="1"/>
      <w:numFmt w:val="bullet"/>
      <w:lvlText w:val=""/>
      <w:lvlJc w:val="left"/>
      <w:pPr>
        <w:ind w:left="6480" w:hanging="360"/>
      </w:pPr>
      <w:rPr>
        <w:rFonts w:ascii="Wingdings" w:hAnsi="Wingdings" w:hint="default"/>
      </w:rPr>
    </w:lvl>
  </w:abstractNum>
  <w:abstractNum w:abstractNumId="3" w15:restartNumberingAfterBreak="0">
    <w:nsid w:val="27355567"/>
    <w:multiLevelType w:val="hybridMultilevel"/>
    <w:tmpl w:val="3DE6FD38"/>
    <w:lvl w:ilvl="0" w:tplc="F4D402CC">
      <w:start w:val="1"/>
      <w:numFmt w:val="bullet"/>
      <w:lvlText w:val=""/>
      <w:lvlJc w:val="left"/>
      <w:pPr>
        <w:ind w:left="720" w:hanging="360"/>
      </w:pPr>
      <w:rPr>
        <w:rFonts w:ascii="Symbol" w:hAnsi="Symbol" w:hint="default"/>
      </w:rPr>
    </w:lvl>
    <w:lvl w:ilvl="1" w:tplc="9F02B836">
      <w:start w:val="1"/>
      <w:numFmt w:val="bullet"/>
      <w:lvlText w:val="o"/>
      <w:lvlJc w:val="left"/>
      <w:pPr>
        <w:ind w:left="1440" w:hanging="360"/>
      </w:pPr>
      <w:rPr>
        <w:rFonts w:ascii="Courier New" w:hAnsi="Courier New" w:hint="default"/>
      </w:rPr>
    </w:lvl>
    <w:lvl w:ilvl="2" w:tplc="740A3794">
      <w:start w:val="1"/>
      <w:numFmt w:val="bullet"/>
      <w:lvlText w:val=""/>
      <w:lvlJc w:val="left"/>
      <w:pPr>
        <w:ind w:left="2160" w:hanging="360"/>
      </w:pPr>
      <w:rPr>
        <w:rFonts w:ascii="Wingdings" w:hAnsi="Wingdings" w:hint="default"/>
      </w:rPr>
    </w:lvl>
    <w:lvl w:ilvl="3" w:tplc="AD66A04E">
      <w:start w:val="1"/>
      <w:numFmt w:val="bullet"/>
      <w:lvlText w:val=""/>
      <w:lvlJc w:val="left"/>
      <w:pPr>
        <w:ind w:left="2880" w:hanging="360"/>
      </w:pPr>
      <w:rPr>
        <w:rFonts w:ascii="Symbol" w:hAnsi="Symbol" w:hint="default"/>
      </w:rPr>
    </w:lvl>
    <w:lvl w:ilvl="4" w:tplc="39107028">
      <w:start w:val="1"/>
      <w:numFmt w:val="bullet"/>
      <w:lvlText w:val="o"/>
      <w:lvlJc w:val="left"/>
      <w:pPr>
        <w:ind w:left="3600" w:hanging="360"/>
      </w:pPr>
      <w:rPr>
        <w:rFonts w:ascii="Courier New" w:hAnsi="Courier New" w:hint="default"/>
      </w:rPr>
    </w:lvl>
    <w:lvl w:ilvl="5" w:tplc="118A3F10">
      <w:start w:val="1"/>
      <w:numFmt w:val="bullet"/>
      <w:lvlText w:val=""/>
      <w:lvlJc w:val="left"/>
      <w:pPr>
        <w:ind w:left="4320" w:hanging="360"/>
      </w:pPr>
      <w:rPr>
        <w:rFonts w:ascii="Wingdings" w:hAnsi="Wingdings" w:hint="default"/>
      </w:rPr>
    </w:lvl>
    <w:lvl w:ilvl="6" w:tplc="A058DFFE">
      <w:start w:val="1"/>
      <w:numFmt w:val="bullet"/>
      <w:lvlText w:val=""/>
      <w:lvlJc w:val="left"/>
      <w:pPr>
        <w:ind w:left="5040" w:hanging="360"/>
      </w:pPr>
      <w:rPr>
        <w:rFonts w:ascii="Symbol" w:hAnsi="Symbol" w:hint="default"/>
      </w:rPr>
    </w:lvl>
    <w:lvl w:ilvl="7" w:tplc="CA548EF4">
      <w:start w:val="1"/>
      <w:numFmt w:val="bullet"/>
      <w:lvlText w:val="o"/>
      <w:lvlJc w:val="left"/>
      <w:pPr>
        <w:ind w:left="5760" w:hanging="360"/>
      </w:pPr>
      <w:rPr>
        <w:rFonts w:ascii="Courier New" w:hAnsi="Courier New" w:hint="default"/>
      </w:rPr>
    </w:lvl>
    <w:lvl w:ilvl="8" w:tplc="D3086C56">
      <w:start w:val="1"/>
      <w:numFmt w:val="bullet"/>
      <w:lvlText w:val=""/>
      <w:lvlJc w:val="left"/>
      <w:pPr>
        <w:ind w:left="6480" w:hanging="360"/>
      </w:pPr>
      <w:rPr>
        <w:rFonts w:ascii="Wingdings" w:hAnsi="Wingdings" w:hint="default"/>
      </w:rPr>
    </w:lvl>
  </w:abstractNum>
  <w:abstractNum w:abstractNumId="4" w15:restartNumberingAfterBreak="0">
    <w:nsid w:val="2ECD1B2C"/>
    <w:multiLevelType w:val="hybridMultilevel"/>
    <w:tmpl w:val="2A9CFB36"/>
    <w:lvl w:ilvl="0" w:tplc="0CCEA56C">
      <w:start w:val="1"/>
      <w:numFmt w:val="bullet"/>
      <w:lvlText w:val=""/>
      <w:lvlJc w:val="left"/>
      <w:pPr>
        <w:ind w:left="720" w:hanging="360"/>
      </w:pPr>
      <w:rPr>
        <w:rFonts w:ascii="Symbol" w:hAnsi="Symbol" w:hint="default"/>
      </w:rPr>
    </w:lvl>
    <w:lvl w:ilvl="1" w:tplc="A50C6EA2">
      <w:start w:val="1"/>
      <w:numFmt w:val="bullet"/>
      <w:lvlText w:val="o"/>
      <w:lvlJc w:val="left"/>
      <w:pPr>
        <w:ind w:left="1440" w:hanging="360"/>
      </w:pPr>
      <w:rPr>
        <w:rFonts w:ascii="Courier New" w:hAnsi="Courier New" w:hint="default"/>
      </w:rPr>
    </w:lvl>
    <w:lvl w:ilvl="2" w:tplc="C4965676">
      <w:start w:val="1"/>
      <w:numFmt w:val="bullet"/>
      <w:lvlText w:val=""/>
      <w:lvlJc w:val="left"/>
      <w:pPr>
        <w:ind w:left="2160" w:hanging="360"/>
      </w:pPr>
      <w:rPr>
        <w:rFonts w:ascii="Wingdings" w:hAnsi="Wingdings" w:hint="default"/>
      </w:rPr>
    </w:lvl>
    <w:lvl w:ilvl="3" w:tplc="496C2CC6">
      <w:start w:val="1"/>
      <w:numFmt w:val="bullet"/>
      <w:lvlText w:val=""/>
      <w:lvlJc w:val="left"/>
      <w:pPr>
        <w:ind w:left="2880" w:hanging="360"/>
      </w:pPr>
      <w:rPr>
        <w:rFonts w:ascii="Symbol" w:hAnsi="Symbol" w:hint="default"/>
      </w:rPr>
    </w:lvl>
    <w:lvl w:ilvl="4" w:tplc="22A4469A">
      <w:start w:val="1"/>
      <w:numFmt w:val="bullet"/>
      <w:lvlText w:val="o"/>
      <w:lvlJc w:val="left"/>
      <w:pPr>
        <w:ind w:left="3600" w:hanging="360"/>
      </w:pPr>
      <w:rPr>
        <w:rFonts w:ascii="Courier New" w:hAnsi="Courier New" w:hint="default"/>
      </w:rPr>
    </w:lvl>
    <w:lvl w:ilvl="5" w:tplc="05A2813A">
      <w:start w:val="1"/>
      <w:numFmt w:val="bullet"/>
      <w:lvlText w:val=""/>
      <w:lvlJc w:val="left"/>
      <w:pPr>
        <w:ind w:left="4320" w:hanging="360"/>
      </w:pPr>
      <w:rPr>
        <w:rFonts w:ascii="Wingdings" w:hAnsi="Wingdings" w:hint="default"/>
      </w:rPr>
    </w:lvl>
    <w:lvl w:ilvl="6" w:tplc="22241EBC">
      <w:start w:val="1"/>
      <w:numFmt w:val="bullet"/>
      <w:lvlText w:val=""/>
      <w:lvlJc w:val="left"/>
      <w:pPr>
        <w:ind w:left="5040" w:hanging="360"/>
      </w:pPr>
      <w:rPr>
        <w:rFonts w:ascii="Symbol" w:hAnsi="Symbol" w:hint="default"/>
      </w:rPr>
    </w:lvl>
    <w:lvl w:ilvl="7" w:tplc="8B3CE5EC">
      <w:start w:val="1"/>
      <w:numFmt w:val="bullet"/>
      <w:lvlText w:val="o"/>
      <w:lvlJc w:val="left"/>
      <w:pPr>
        <w:ind w:left="5760" w:hanging="360"/>
      </w:pPr>
      <w:rPr>
        <w:rFonts w:ascii="Courier New" w:hAnsi="Courier New" w:hint="default"/>
      </w:rPr>
    </w:lvl>
    <w:lvl w:ilvl="8" w:tplc="50D8E6C2">
      <w:start w:val="1"/>
      <w:numFmt w:val="bullet"/>
      <w:lvlText w:val=""/>
      <w:lvlJc w:val="left"/>
      <w:pPr>
        <w:ind w:left="6480" w:hanging="360"/>
      </w:pPr>
      <w:rPr>
        <w:rFonts w:ascii="Wingdings" w:hAnsi="Wingdings" w:hint="default"/>
      </w:rPr>
    </w:lvl>
  </w:abstractNum>
  <w:abstractNum w:abstractNumId="5" w15:restartNumberingAfterBreak="0">
    <w:nsid w:val="312A56FA"/>
    <w:multiLevelType w:val="hybridMultilevel"/>
    <w:tmpl w:val="DB944F32"/>
    <w:lvl w:ilvl="0" w:tplc="A1C6BDB8">
      <w:start w:val="1"/>
      <w:numFmt w:val="bullet"/>
      <w:lvlText w:val=""/>
      <w:lvlJc w:val="left"/>
      <w:pPr>
        <w:ind w:left="720" w:hanging="360"/>
      </w:pPr>
      <w:rPr>
        <w:rFonts w:ascii="Symbol" w:hAnsi="Symbol" w:hint="default"/>
      </w:rPr>
    </w:lvl>
    <w:lvl w:ilvl="1" w:tplc="ABC6573C">
      <w:start w:val="1"/>
      <w:numFmt w:val="bullet"/>
      <w:lvlText w:val="o"/>
      <w:lvlJc w:val="left"/>
      <w:pPr>
        <w:ind w:left="1440" w:hanging="360"/>
      </w:pPr>
      <w:rPr>
        <w:rFonts w:ascii="Courier New" w:hAnsi="Courier New" w:hint="default"/>
      </w:rPr>
    </w:lvl>
    <w:lvl w:ilvl="2" w:tplc="1098D71C">
      <w:start w:val="1"/>
      <w:numFmt w:val="bullet"/>
      <w:lvlText w:val=""/>
      <w:lvlJc w:val="left"/>
      <w:pPr>
        <w:ind w:left="2160" w:hanging="360"/>
      </w:pPr>
      <w:rPr>
        <w:rFonts w:ascii="Wingdings" w:hAnsi="Wingdings" w:hint="default"/>
      </w:rPr>
    </w:lvl>
    <w:lvl w:ilvl="3" w:tplc="E30252FA">
      <w:start w:val="1"/>
      <w:numFmt w:val="bullet"/>
      <w:lvlText w:val=""/>
      <w:lvlJc w:val="left"/>
      <w:pPr>
        <w:ind w:left="2880" w:hanging="360"/>
      </w:pPr>
      <w:rPr>
        <w:rFonts w:ascii="Symbol" w:hAnsi="Symbol" w:hint="default"/>
      </w:rPr>
    </w:lvl>
    <w:lvl w:ilvl="4" w:tplc="B14E7DA2">
      <w:start w:val="1"/>
      <w:numFmt w:val="bullet"/>
      <w:lvlText w:val="o"/>
      <w:lvlJc w:val="left"/>
      <w:pPr>
        <w:ind w:left="3600" w:hanging="360"/>
      </w:pPr>
      <w:rPr>
        <w:rFonts w:ascii="Courier New" w:hAnsi="Courier New" w:hint="default"/>
      </w:rPr>
    </w:lvl>
    <w:lvl w:ilvl="5" w:tplc="38DCDA0A">
      <w:start w:val="1"/>
      <w:numFmt w:val="bullet"/>
      <w:lvlText w:val=""/>
      <w:lvlJc w:val="left"/>
      <w:pPr>
        <w:ind w:left="4320" w:hanging="360"/>
      </w:pPr>
      <w:rPr>
        <w:rFonts w:ascii="Wingdings" w:hAnsi="Wingdings" w:hint="default"/>
      </w:rPr>
    </w:lvl>
    <w:lvl w:ilvl="6" w:tplc="6AF4A372">
      <w:start w:val="1"/>
      <w:numFmt w:val="bullet"/>
      <w:lvlText w:val=""/>
      <w:lvlJc w:val="left"/>
      <w:pPr>
        <w:ind w:left="5040" w:hanging="360"/>
      </w:pPr>
      <w:rPr>
        <w:rFonts w:ascii="Symbol" w:hAnsi="Symbol" w:hint="default"/>
      </w:rPr>
    </w:lvl>
    <w:lvl w:ilvl="7" w:tplc="BC767DF6">
      <w:start w:val="1"/>
      <w:numFmt w:val="bullet"/>
      <w:lvlText w:val="o"/>
      <w:lvlJc w:val="left"/>
      <w:pPr>
        <w:ind w:left="5760" w:hanging="360"/>
      </w:pPr>
      <w:rPr>
        <w:rFonts w:ascii="Courier New" w:hAnsi="Courier New" w:hint="default"/>
      </w:rPr>
    </w:lvl>
    <w:lvl w:ilvl="8" w:tplc="E0162A0E">
      <w:start w:val="1"/>
      <w:numFmt w:val="bullet"/>
      <w:lvlText w:val=""/>
      <w:lvlJc w:val="left"/>
      <w:pPr>
        <w:ind w:left="6480" w:hanging="360"/>
      </w:pPr>
      <w:rPr>
        <w:rFonts w:ascii="Wingdings" w:hAnsi="Wingdings" w:hint="default"/>
      </w:rPr>
    </w:lvl>
  </w:abstractNum>
  <w:abstractNum w:abstractNumId="6" w15:restartNumberingAfterBreak="0">
    <w:nsid w:val="33C2499C"/>
    <w:multiLevelType w:val="hybridMultilevel"/>
    <w:tmpl w:val="787E1872"/>
    <w:lvl w:ilvl="0" w:tplc="1A0E1078">
      <w:start w:val="1"/>
      <w:numFmt w:val="bullet"/>
      <w:lvlText w:val=""/>
      <w:lvlJc w:val="left"/>
      <w:pPr>
        <w:ind w:left="720" w:hanging="360"/>
      </w:pPr>
      <w:rPr>
        <w:rFonts w:ascii="Symbol" w:hAnsi="Symbol" w:hint="default"/>
      </w:rPr>
    </w:lvl>
    <w:lvl w:ilvl="1" w:tplc="419692A4">
      <w:start w:val="1"/>
      <w:numFmt w:val="bullet"/>
      <w:lvlText w:val="o"/>
      <w:lvlJc w:val="left"/>
      <w:pPr>
        <w:ind w:left="1440" w:hanging="360"/>
      </w:pPr>
      <w:rPr>
        <w:rFonts w:ascii="Courier New" w:hAnsi="Courier New" w:hint="default"/>
      </w:rPr>
    </w:lvl>
    <w:lvl w:ilvl="2" w:tplc="2998F250">
      <w:start w:val="1"/>
      <w:numFmt w:val="bullet"/>
      <w:lvlText w:val=""/>
      <w:lvlJc w:val="left"/>
      <w:pPr>
        <w:ind w:left="2160" w:hanging="360"/>
      </w:pPr>
      <w:rPr>
        <w:rFonts w:ascii="Wingdings" w:hAnsi="Wingdings" w:hint="default"/>
      </w:rPr>
    </w:lvl>
    <w:lvl w:ilvl="3" w:tplc="8EE66F24">
      <w:start w:val="1"/>
      <w:numFmt w:val="bullet"/>
      <w:lvlText w:val=""/>
      <w:lvlJc w:val="left"/>
      <w:pPr>
        <w:ind w:left="2880" w:hanging="360"/>
      </w:pPr>
      <w:rPr>
        <w:rFonts w:ascii="Symbol" w:hAnsi="Symbol" w:hint="default"/>
      </w:rPr>
    </w:lvl>
    <w:lvl w:ilvl="4" w:tplc="555E5F3E">
      <w:start w:val="1"/>
      <w:numFmt w:val="bullet"/>
      <w:lvlText w:val="o"/>
      <w:lvlJc w:val="left"/>
      <w:pPr>
        <w:ind w:left="3600" w:hanging="360"/>
      </w:pPr>
      <w:rPr>
        <w:rFonts w:ascii="Courier New" w:hAnsi="Courier New" w:hint="default"/>
      </w:rPr>
    </w:lvl>
    <w:lvl w:ilvl="5" w:tplc="23A0FA52">
      <w:start w:val="1"/>
      <w:numFmt w:val="bullet"/>
      <w:lvlText w:val=""/>
      <w:lvlJc w:val="left"/>
      <w:pPr>
        <w:ind w:left="4320" w:hanging="360"/>
      </w:pPr>
      <w:rPr>
        <w:rFonts w:ascii="Wingdings" w:hAnsi="Wingdings" w:hint="default"/>
      </w:rPr>
    </w:lvl>
    <w:lvl w:ilvl="6" w:tplc="A8B0F0B6">
      <w:start w:val="1"/>
      <w:numFmt w:val="bullet"/>
      <w:lvlText w:val=""/>
      <w:lvlJc w:val="left"/>
      <w:pPr>
        <w:ind w:left="5040" w:hanging="360"/>
      </w:pPr>
      <w:rPr>
        <w:rFonts w:ascii="Symbol" w:hAnsi="Symbol" w:hint="default"/>
      </w:rPr>
    </w:lvl>
    <w:lvl w:ilvl="7" w:tplc="117E5FE4">
      <w:start w:val="1"/>
      <w:numFmt w:val="bullet"/>
      <w:lvlText w:val="o"/>
      <w:lvlJc w:val="left"/>
      <w:pPr>
        <w:ind w:left="5760" w:hanging="360"/>
      </w:pPr>
      <w:rPr>
        <w:rFonts w:ascii="Courier New" w:hAnsi="Courier New" w:hint="default"/>
      </w:rPr>
    </w:lvl>
    <w:lvl w:ilvl="8" w:tplc="34BEAA60">
      <w:start w:val="1"/>
      <w:numFmt w:val="bullet"/>
      <w:lvlText w:val=""/>
      <w:lvlJc w:val="left"/>
      <w:pPr>
        <w:ind w:left="6480" w:hanging="360"/>
      </w:pPr>
      <w:rPr>
        <w:rFonts w:ascii="Wingdings" w:hAnsi="Wingdings" w:hint="default"/>
      </w:rPr>
    </w:lvl>
  </w:abstractNum>
  <w:abstractNum w:abstractNumId="7" w15:restartNumberingAfterBreak="0">
    <w:nsid w:val="3C025457"/>
    <w:multiLevelType w:val="hybridMultilevel"/>
    <w:tmpl w:val="B50A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52E64"/>
    <w:multiLevelType w:val="hybridMultilevel"/>
    <w:tmpl w:val="E0E680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85A11"/>
    <w:multiLevelType w:val="hybridMultilevel"/>
    <w:tmpl w:val="08A032CE"/>
    <w:lvl w:ilvl="0" w:tplc="84DEB7E8">
      <w:start w:val="1"/>
      <w:numFmt w:val="bullet"/>
      <w:lvlText w:val=""/>
      <w:lvlJc w:val="left"/>
      <w:pPr>
        <w:ind w:left="720" w:hanging="360"/>
      </w:pPr>
      <w:rPr>
        <w:rFonts w:ascii="Symbol" w:hAnsi="Symbol" w:hint="default"/>
      </w:rPr>
    </w:lvl>
    <w:lvl w:ilvl="1" w:tplc="BEE02C8E">
      <w:start w:val="1"/>
      <w:numFmt w:val="bullet"/>
      <w:lvlText w:val="o"/>
      <w:lvlJc w:val="left"/>
      <w:pPr>
        <w:ind w:left="1440" w:hanging="360"/>
      </w:pPr>
      <w:rPr>
        <w:rFonts w:ascii="Courier New" w:hAnsi="Courier New" w:hint="default"/>
      </w:rPr>
    </w:lvl>
    <w:lvl w:ilvl="2" w:tplc="D2C0B8A2">
      <w:start w:val="1"/>
      <w:numFmt w:val="bullet"/>
      <w:lvlText w:val=""/>
      <w:lvlJc w:val="left"/>
      <w:pPr>
        <w:ind w:left="2160" w:hanging="360"/>
      </w:pPr>
      <w:rPr>
        <w:rFonts w:ascii="Wingdings" w:hAnsi="Wingdings" w:hint="default"/>
      </w:rPr>
    </w:lvl>
    <w:lvl w:ilvl="3" w:tplc="CC8E145E">
      <w:start w:val="1"/>
      <w:numFmt w:val="bullet"/>
      <w:lvlText w:val=""/>
      <w:lvlJc w:val="left"/>
      <w:pPr>
        <w:ind w:left="2880" w:hanging="360"/>
      </w:pPr>
      <w:rPr>
        <w:rFonts w:ascii="Symbol" w:hAnsi="Symbol" w:hint="default"/>
      </w:rPr>
    </w:lvl>
    <w:lvl w:ilvl="4" w:tplc="A0CE6990">
      <w:start w:val="1"/>
      <w:numFmt w:val="bullet"/>
      <w:lvlText w:val="o"/>
      <w:lvlJc w:val="left"/>
      <w:pPr>
        <w:ind w:left="3600" w:hanging="360"/>
      </w:pPr>
      <w:rPr>
        <w:rFonts w:ascii="Courier New" w:hAnsi="Courier New" w:hint="default"/>
      </w:rPr>
    </w:lvl>
    <w:lvl w:ilvl="5" w:tplc="0FA2F65C">
      <w:start w:val="1"/>
      <w:numFmt w:val="bullet"/>
      <w:lvlText w:val=""/>
      <w:lvlJc w:val="left"/>
      <w:pPr>
        <w:ind w:left="4320" w:hanging="360"/>
      </w:pPr>
      <w:rPr>
        <w:rFonts w:ascii="Wingdings" w:hAnsi="Wingdings" w:hint="default"/>
      </w:rPr>
    </w:lvl>
    <w:lvl w:ilvl="6" w:tplc="D76ABE0C">
      <w:start w:val="1"/>
      <w:numFmt w:val="bullet"/>
      <w:lvlText w:val=""/>
      <w:lvlJc w:val="left"/>
      <w:pPr>
        <w:ind w:left="5040" w:hanging="360"/>
      </w:pPr>
      <w:rPr>
        <w:rFonts w:ascii="Symbol" w:hAnsi="Symbol" w:hint="default"/>
      </w:rPr>
    </w:lvl>
    <w:lvl w:ilvl="7" w:tplc="73748AEA">
      <w:start w:val="1"/>
      <w:numFmt w:val="bullet"/>
      <w:lvlText w:val="o"/>
      <w:lvlJc w:val="left"/>
      <w:pPr>
        <w:ind w:left="5760" w:hanging="360"/>
      </w:pPr>
      <w:rPr>
        <w:rFonts w:ascii="Courier New" w:hAnsi="Courier New" w:hint="default"/>
      </w:rPr>
    </w:lvl>
    <w:lvl w:ilvl="8" w:tplc="9904CBD4">
      <w:start w:val="1"/>
      <w:numFmt w:val="bullet"/>
      <w:lvlText w:val=""/>
      <w:lvlJc w:val="left"/>
      <w:pPr>
        <w:ind w:left="6480" w:hanging="360"/>
      </w:pPr>
      <w:rPr>
        <w:rFonts w:ascii="Wingdings" w:hAnsi="Wingdings" w:hint="default"/>
      </w:rPr>
    </w:lvl>
  </w:abstractNum>
  <w:abstractNum w:abstractNumId="10" w15:restartNumberingAfterBreak="0">
    <w:nsid w:val="54951B25"/>
    <w:multiLevelType w:val="hybridMultilevel"/>
    <w:tmpl w:val="0BDEB09A"/>
    <w:lvl w:ilvl="0" w:tplc="769E243E">
      <w:start w:val="1"/>
      <w:numFmt w:val="bullet"/>
      <w:lvlText w:val=""/>
      <w:lvlJc w:val="left"/>
      <w:pPr>
        <w:ind w:left="720" w:hanging="360"/>
      </w:pPr>
      <w:rPr>
        <w:rFonts w:ascii="Symbol" w:hAnsi="Symbol" w:hint="default"/>
      </w:rPr>
    </w:lvl>
    <w:lvl w:ilvl="1" w:tplc="C48E328E">
      <w:start w:val="1"/>
      <w:numFmt w:val="bullet"/>
      <w:lvlText w:val="o"/>
      <w:lvlJc w:val="left"/>
      <w:pPr>
        <w:ind w:left="1440" w:hanging="360"/>
      </w:pPr>
      <w:rPr>
        <w:rFonts w:ascii="Courier New" w:hAnsi="Courier New" w:hint="default"/>
      </w:rPr>
    </w:lvl>
    <w:lvl w:ilvl="2" w:tplc="C31EFB76">
      <w:start w:val="1"/>
      <w:numFmt w:val="bullet"/>
      <w:lvlText w:val=""/>
      <w:lvlJc w:val="left"/>
      <w:pPr>
        <w:ind w:left="2160" w:hanging="360"/>
      </w:pPr>
      <w:rPr>
        <w:rFonts w:ascii="Wingdings" w:hAnsi="Wingdings" w:hint="default"/>
      </w:rPr>
    </w:lvl>
    <w:lvl w:ilvl="3" w:tplc="87E00A80">
      <w:start w:val="1"/>
      <w:numFmt w:val="bullet"/>
      <w:lvlText w:val=""/>
      <w:lvlJc w:val="left"/>
      <w:pPr>
        <w:ind w:left="2880" w:hanging="360"/>
      </w:pPr>
      <w:rPr>
        <w:rFonts w:ascii="Symbol" w:hAnsi="Symbol" w:hint="default"/>
      </w:rPr>
    </w:lvl>
    <w:lvl w:ilvl="4" w:tplc="3586ADE8">
      <w:start w:val="1"/>
      <w:numFmt w:val="bullet"/>
      <w:lvlText w:val="o"/>
      <w:lvlJc w:val="left"/>
      <w:pPr>
        <w:ind w:left="3600" w:hanging="360"/>
      </w:pPr>
      <w:rPr>
        <w:rFonts w:ascii="Courier New" w:hAnsi="Courier New" w:hint="default"/>
      </w:rPr>
    </w:lvl>
    <w:lvl w:ilvl="5" w:tplc="2B048144">
      <w:start w:val="1"/>
      <w:numFmt w:val="bullet"/>
      <w:lvlText w:val=""/>
      <w:lvlJc w:val="left"/>
      <w:pPr>
        <w:ind w:left="4320" w:hanging="360"/>
      </w:pPr>
      <w:rPr>
        <w:rFonts w:ascii="Wingdings" w:hAnsi="Wingdings" w:hint="default"/>
      </w:rPr>
    </w:lvl>
    <w:lvl w:ilvl="6" w:tplc="967488EA">
      <w:start w:val="1"/>
      <w:numFmt w:val="bullet"/>
      <w:lvlText w:val=""/>
      <w:lvlJc w:val="left"/>
      <w:pPr>
        <w:ind w:left="5040" w:hanging="360"/>
      </w:pPr>
      <w:rPr>
        <w:rFonts w:ascii="Symbol" w:hAnsi="Symbol" w:hint="default"/>
      </w:rPr>
    </w:lvl>
    <w:lvl w:ilvl="7" w:tplc="F09AD86C">
      <w:start w:val="1"/>
      <w:numFmt w:val="bullet"/>
      <w:lvlText w:val="o"/>
      <w:lvlJc w:val="left"/>
      <w:pPr>
        <w:ind w:left="5760" w:hanging="360"/>
      </w:pPr>
      <w:rPr>
        <w:rFonts w:ascii="Courier New" w:hAnsi="Courier New" w:hint="default"/>
      </w:rPr>
    </w:lvl>
    <w:lvl w:ilvl="8" w:tplc="44981282">
      <w:start w:val="1"/>
      <w:numFmt w:val="bullet"/>
      <w:lvlText w:val=""/>
      <w:lvlJc w:val="left"/>
      <w:pPr>
        <w:ind w:left="6480" w:hanging="360"/>
      </w:pPr>
      <w:rPr>
        <w:rFonts w:ascii="Wingdings" w:hAnsi="Wingdings" w:hint="default"/>
      </w:rPr>
    </w:lvl>
  </w:abstractNum>
  <w:abstractNum w:abstractNumId="11" w15:restartNumberingAfterBreak="0">
    <w:nsid w:val="5C683BF6"/>
    <w:multiLevelType w:val="hybridMultilevel"/>
    <w:tmpl w:val="309C2E9E"/>
    <w:lvl w:ilvl="0" w:tplc="AD74C4B0">
      <w:start w:val="1"/>
      <w:numFmt w:val="bullet"/>
      <w:lvlText w:val=""/>
      <w:lvlJc w:val="left"/>
      <w:pPr>
        <w:ind w:left="720" w:hanging="360"/>
      </w:pPr>
      <w:rPr>
        <w:rFonts w:ascii="Symbol" w:hAnsi="Symbol" w:hint="default"/>
      </w:rPr>
    </w:lvl>
    <w:lvl w:ilvl="1" w:tplc="4A0C1494">
      <w:start w:val="1"/>
      <w:numFmt w:val="bullet"/>
      <w:lvlText w:val="o"/>
      <w:lvlJc w:val="left"/>
      <w:pPr>
        <w:ind w:left="1440" w:hanging="360"/>
      </w:pPr>
      <w:rPr>
        <w:rFonts w:ascii="Courier New" w:hAnsi="Courier New" w:hint="default"/>
      </w:rPr>
    </w:lvl>
    <w:lvl w:ilvl="2" w:tplc="F2705E2C">
      <w:start w:val="1"/>
      <w:numFmt w:val="bullet"/>
      <w:lvlText w:val=""/>
      <w:lvlJc w:val="left"/>
      <w:pPr>
        <w:ind w:left="2160" w:hanging="360"/>
      </w:pPr>
      <w:rPr>
        <w:rFonts w:ascii="Wingdings" w:hAnsi="Wingdings" w:hint="default"/>
      </w:rPr>
    </w:lvl>
    <w:lvl w:ilvl="3" w:tplc="3EA6CAE8">
      <w:start w:val="1"/>
      <w:numFmt w:val="bullet"/>
      <w:lvlText w:val=""/>
      <w:lvlJc w:val="left"/>
      <w:pPr>
        <w:ind w:left="2880" w:hanging="360"/>
      </w:pPr>
      <w:rPr>
        <w:rFonts w:ascii="Symbol" w:hAnsi="Symbol" w:hint="default"/>
      </w:rPr>
    </w:lvl>
    <w:lvl w:ilvl="4" w:tplc="A2C4AB2C">
      <w:start w:val="1"/>
      <w:numFmt w:val="bullet"/>
      <w:lvlText w:val="o"/>
      <w:lvlJc w:val="left"/>
      <w:pPr>
        <w:ind w:left="3600" w:hanging="360"/>
      </w:pPr>
      <w:rPr>
        <w:rFonts w:ascii="Courier New" w:hAnsi="Courier New" w:hint="default"/>
      </w:rPr>
    </w:lvl>
    <w:lvl w:ilvl="5" w:tplc="287C8124">
      <w:start w:val="1"/>
      <w:numFmt w:val="bullet"/>
      <w:lvlText w:val=""/>
      <w:lvlJc w:val="left"/>
      <w:pPr>
        <w:ind w:left="4320" w:hanging="360"/>
      </w:pPr>
      <w:rPr>
        <w:rFonts w:ascii="Wingdings" w:hAnsi="Wingdings" w:hint="default"/>
      </w:rPr>
    </w:lvl>
    <w:lvl w:ilvl="6" w:tplc="A51EF5F8">
      <w:start w:val="1"/>
      <w:numFmt w:val="bullet"/>
      <w:lvlText w:val=""/>
      <w:lvlJc w:val="left"/>
      <w:pPr>
        <w:ind w:left="5040" w:hanging="360"/>
      </w:pPr>
      <w:rPr>
        <w:rFonts w:ascii="Symbol" w:hAnsi="Symbol" w:hint="default"/>
      </w:rPr>
    </w:lvl>
    <w:lvl w:ilvl="7" w:tplc="CBBC7230">
      <w:start w:val="1"/>
      <w:numFmt w:val="bullet"/>
      <w:lvlText w:val="o"/>
      <w:lvlJc w:val="left"/>
      <w:pPr>
        <w:ind w:left="5760" w:hanging="360"/>
      </w:pPr>
      <w:rPr>
        <w:rFonts w:ascii="Courier New" w:hAnsi="Courier New" w:hint="default"/>
      </w:rPr>
    </w:lvl>
    <w:lvl w:ilvl="8" w:tplc="0338E944">
      <w:start w:val="1"/>
      <w:numFmt w:val="bullet"/>
      <w:lvlText w:val=""/>
      <w:lvlJc w:val="left"/>
      <w:pPr>
        <w:ind w:left="6480" w:hanging="360"/>
      </w:pPr>
      <w:rPr>
        <w:rFonts w:ascii="Wingdings" w:hAnsi="Wingdings" w:hint="default"/>
      </w:rPr>
    </w:lvl>
  </w:abstractNum>
  <w:abstractNum w:abstractNumId="12" w15:restartNumberingAfterBreak="0">
    <w:nsid w:val="5F0E7817"/>
    <w:multiLevelType w:val="hybridMultilevel"/>
    <w:tmpl w:val="95184392"/>
    <w:lvl w:ilvl="0" w:tplc="9B78EDE2">
      <w:start w:val="1"/>
      <w:numFmt w:val="bullet"/>
      <w:lvlText w:val=""/>
      <w:lvlJc w:val="left"/>
      <w:pPr>
        <w:ind w:left="720" w:hanging="360"/>
      </w:pPr>
      <w:rPr>
        <w:rFonts w:ascii="Symbol" w:hAnsi="Symbol" w:hint="default"/>
      </w:rPr>
    </w:lvl>
    <w:lvl w:ilvl="1" w:tplc="7E46A214">
      <w:start w:val="1"/>
      <w:numFmt w:val="bullet"/>
      <w:lvlText w:val="o"/>
      <w:lvlJc w:val="left"/>
      <w:pPr>
        <w:ind w:left="1440" w:hanging="360"/>
      </w:pPr>
      <w:rPr>
        <w:rFonts w:ascii="Courier New" w:hAnsi="Courier New" w:hint="default"/>
      </w:rPr>
    </w:lvl>
    <w:lvl w:ilvl="2" w:tplc="561E47D0">
      <w:start w:val="1"/>
      <w:numFmt w:val="bullet"/>
      <w:lvlText w:val=""/>
      <w:lvlJc w:val="left"/>
      <w:pPr>
        <w:ind w:left="2160" w:hanging="360"/>
      </w:pPr>
      <w:rPr>
        <w:rFonts w:ascii="Wingdings" w:hAnsi="Wingdings" w:hint="default"/>
      </w:rPr>
    </w:lvl>
    <w:lvl w:ilvl="3" w:tplc="639E11DA">
      <w:start w:val="1"/>
      <w:numFmt w:val="bullet"/>
      <w:lvlText w:val=""/>
      <w:lvlJc w:val="left"/>
      <w:pPr>
        <w:ind w:left="2880" w:hanging="360"/>
      </w:pPr>
      <w:rPr>
        <w:rFonts w:ascii="Symbol" w:hAnsi="Symbol" w:hint="default"/>
      </w:rPr>
    </w:lvl>
    <w:lvl w:ilvl="4" w:tplc="155482EE">
      <w:start w:val="1"/>
      <w:numFmt w:val="bullet"/>
      <w:lvlText w:val="o"/>
      <w:lvlJc w:val="left"/>
      <w:pPr>
        <w:ind w:left="3600" w:hanging="360"/>
      </w:pPr>
      <w:rPr>
        <w:rFonts w:ascii="Courier New" w:hAnsi="Courier New" w:hint="default"/>
      </w:rPr>
    </w:lvl>
    <w:lvl w:ilvl="5" w:tplc="5CBC104C">
      <w:start w:val="1"/>
      <w:numFmt w:val="bullet"/>
      <w:lvlText w:val=""/>
      <w:lvlJc w:val="left"/>
      <w:pPr>
        <w:ind w:left="4320" w:hanging="360"/>
      </w:pPr>
      <w:rPr>
        <w:rFonts w:ascii="Wingdings" w:hAnsi="Wingdings" w:hint="default"/>
      </w:rPr>
    </w:lvl>
    <w:lvl w:ilvl="6" w:tplc="A90007EE">
      <w:start w:val="1"/>
      <w:numFmt w:val="bullet"/>
      <w:lvlText w:val=""/>
      <w:lvlJc w:val="left"/>
      <w:pPr>
        <w:ind w:left="5040" w:hanging="360"/>
      </w:pPr>
      <w:rPr>
        <w:rFonts w:ascii="Symbol" w:hAnsi="Symbol" w:hint="default"/>
      </w:rPr>
    </w:lvl>
    <w:lvl w:ilvl="7" w:tplc="920A29CA">
      <w:start w:val="1"/>
      <w:numFmt w:val="bullet"/>
      <w:lvlText w:val="o"/>
      <w:lvlJc w:val="left"/>
      <w:pPr>
        <w:ind w:left="5760" w:hanging="360"/>
      </w:pPr>
      <w:rPr>
        <w:rFonts w:ascii="Courier New" w:hAnsi="Courier New" w:hint="default"/>
      </w:rPr>
    </w:lvl>
    <w:lvl w:ilvl="8" w:tplc="B2F6004A">
      <w:start w:val="1"/>
      <w:numFmt w:val="bullet"/>
      <w:lvlText w:val=""/>
      <w:lvlJc w:val="left"/>
      <w:pPr>
        <w:ind w:left="6480" w:hanging="360"/>
      </w:pPr>
      <w:rPr>
        <w:rFonts w:ascii="Wingdings" w:hAnsi="Wingdings" w:hint="default"/>
      </w:rPr>
    </w:lvl>
  </w:abstractNum>
  <w:abstractNum w:abstractNumId="13" w15:restartNumberingAfterBreak="0">
    <w:nsid w:val="61677D1B"/>
    <w:multiLevelType w:val="hybridMultilevel"/>
    <w:tmpl w:val="841A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C3D26"/>
    <w:multiLevelType w:val="hybridMultilevel"/>
    <w:tmpl w:val="17D0DD9E"/>
    <w:lvl w:ilvl="0" w:tplc="6FDA6BE0">
      <w:start w:val="1"/>
      <w:numFmt w:val="bullet"/>
      <w:lvlText w:val=""/>
      <w:lvlJc w:val="left"/>
      <w:pPr>
        <w:ind w:left="720" w:hanging="360"/>
      </w:pPr>
      <w:rPr>
        <w:rFonts w:ascii="Symbol" w:hAnsi="Symbol" w:hint="default"/>
      </w:rPr>
    </w:lvl>
    <w:lvl w:ilvl="1" w:tplc="D138F46C">
      <w:start w:val="1"/>
      <w:numFmt w:val="bullet"/>
      <w:lvlText w:val="o"/>
      <w:lvlJc w:val="left"/>
      <w:pPr>
        <w:ind w:left="1440" w:hanging="360"/>
      </w:pPr>
      <w:rPr>
        <w:rFonts w:ascii="Courier New" w:hAnsi="Courier New" w:hint="default"/>
      </w:rPr>
    </w:lvl>
    <w:lvl w:ilvl="2" w:tplc="72209984">
      <w:start w:val="1"/>
      <w:numFmt w:val="bullet"/>
      <w:lvlText w:val=""/>
      <w:lvlJc w:val="left"/>
      <w:pPr>
        <w:ind w:left="2160" w:hanging="360"/>
      </w:pPr>
      <w:rPr>
        <w:rFonts w:ascii="Wingdings" w:hAnsi="Wingdings" w:hint="default"/>
      </w:rPr>
    </w:lvl>
    <w:lvl w:ilvl="3" w:tplc="C76ACD32">
      <w:start w:val="1"/>
      <w:numFmt w:val="bullet"/>
      <w:lvlText w:val=""/>
      <w:lvlJc w:val="left"/>
      <w:pPr>
        <w:ind w:left="2880" w:hanging="360"/>
      </w:pPr>
      <w:rPr>
        <w:rFonts w:ascii="Symbol" w:hAnsi="Symbol" w:hint="default"/>
      </w:rPr>
    </w:lvl>
    <w:lvl w:ilvl="4" w:tplc="8C8A2B16">
      <w:start w:val="1"/>
      <w:numFmt w:val="bullet"/>
      <w:lvlText w:val="o"/>
      <w:lvlJc w:val="left"/>
      <w:pPr>
        <w:ind w:left="3600" w:hanging="360"/>
      </w:pPr>
      <w:rPr>
        <w:rFonts w:ascii="Courier New" w:hAnsi="Courier New" w:hint="default"/>
      </w:rPr>
    </w:lvl>
    <w:lvl w:ilvl="5" w:tplc="7346B9E8">
      <w:start w:val="1"/>
      <w:numFmt w:val="bullet"/>
      <w:lvlText w:val=""/>
      <w:lvlJc w:val="left"/>
      <w:pPr>
        <w:ind w:left="4320" w:hanging="360"/>
      </w:pPr>
      <w:rPr>
        <w:rFonts w:ascii="Wingdings" w:hAnsi="Wingdings" w:hint="default"/>
      </w:rPr>
    </w:lvl>
    <w:lvl w:ilvl="6" w:tplc="A7A01F0A">
      <w:start w:val="1"/>
      <w:numFmt w:val="bullet"/>
      <w:lvlText w:val=""/>
      <w:lvlJc w:val="left"/>
      <w:pPr>
        <w:ind w:left="5040" w:hanging="360"/>
      </w:pPr>
      <w:rPr>
        <w:rFonts w:ascii="Symbol" w:hAnsi="Symbol" w:hint="default"/>
      </w:rPr>
    </w:lvl>
    <w:lvl w:ilvl="7" w:tplc="05A86882">
      <w:start w:val="1"/>
      <w:numFmt w:val="bullet"/>
      <w:lvlText w:val="o"/>
      <w:lvlJc w:val="left"/>
      <w:pPr>
        <w:ind w:left="5760" w:hanging="360"/>
      </w:pPr>
      <w:rPr>
        <w:rFonts w:ascii="Courier New" w:hAnsi="Courier New" w:hint="default"/>
      </w:rPr>
    </w:lvl>
    <w:lvl w:ilvl="8" w:tplc="DA3E07CA">
      <w:start w:val="1"/>
      <w:numFmt w:val="bullet"/>
      <w:lvlText w:val=""/>
      <w:lvlJc w:val="left"/>
      <w:pPr>
        <w:ind w:left="6480" w:hanging="360"/>
      </w:pPr>
      <w:rPr>
        <w:rFonts w:ascii="Wingdings" w:hAnsi="Wingdings" w:hint="default"/>
      </w:rPr>
    </w:lvl>
  </w:abstractNum>
  <w:abstractNum w:abstractNumId="15" w15:restartNumberingAfterBreak="0">
    <w:nsid w:val="79FA4641"/>
    <w:multiLevelType w:val="hybridMultilevel"/>
    <w:tmpl w:val="BD145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3"/>
  </w:num>
  <w:num w:numId="5">
    <w:abstractNumId w:val="12"/>
  </w:num>
  <w:num w:numId="6">
    <w:abstractNumId w:val="9"/>
  </w:num>
  <w:num w:numId="7">
    <w:abstractNumId w:val="2"/>
  </w:num>
  <w:num w:numId="8">
    <w:abstractNumId w:val="1"/>
  </w:num>
  <w:num w:numId="9">
    <w:abstractNumId w:val="11"/>
  </w:num>
  <w:num w:numId="10">
    <w:abstractNumId w:val="5"/>
  </w:num>
  <w:num w:numId="11">
    <w:abstractNumId w:val="14"/>
  </w:num>
  <w:num w:numId="12">
    <w:abstractNumId w:val="0"/>
  </w:num>
  <w:num w:numId="13">
    <w:abstractNumId w:val="13"/>
  </w:num>
  <w:num w:numId="14">
    <w:abstractNumId w:val="8"/>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E1"/>
    <w:rsid w:val="000227EB"/>
    <w:rsid w:val="000770B5"/>
    <w:rsid w:val="000B3150"/>
    <w:rsid w:val="000C6D09"/>
    <w:rsid w:val="000D53C6"/>
    <w:rsid w:val="0010357C"/>
    <w:rsid w:val="00191F33"/>
    <w:rsid w:val="001F44AF"/>
    <w:rsid w:val="0023397E"/>
    <w:rsid w:val="00250F62"/>
    <w:rsid w:val="00264BDF"/>
    <w:rsid w:val="002A37E2"/>
    <w:rsid w:val="002B6163"/>
    <w:rsid w:val="002B6DD6"/>
    <w:rsid w:val="002E23E2"/>
    <w:rsid w:val="00306BA4"/>
    <w:rsid w:val="00324D37"/>
    <w:rsid w:val="00353343"/>
    <w:rsid w:val="0038480E"/>
    <w:rsid w:val="003C424D"/>
    <w:rsid w:val="003D0950"/>
    <w:rsid w:val="003F50CC"/>
    <w:rsid w:val="00403796"/>
    <w:rsid w:val="00466D67"/>
    <w:rsid w:val="00483231"/>
    <w:rsid w:val="004B7A73"/>
    <w:rsid w:val="004E1776"/>
    <w:rsid w:val="004F3264"/>
    <w:rsid w:val="0050237E"/>
    <w:rsid w:val="005A4E8E"/>
    <w:rsid w:val="00627828"/>
    <w:rsid w:val="00667245"/>
    <w:rsid w:val="00691360"/>
    <w:rsid w:val="006D47E1"/>
    <w:rsid w:val="006F3E49"/>
    <w:rsid w:val="00730263"/>
    <w:rsid w:val="00732EC3"/>
    <w:rsid w:val="0076061C"/>
    <w:rsid w:val="007A39EC"/>
    <w:rsid w:val="007B1AB5"/>
    <w:rsid w:val="00810273"/>
    <w:rsid w:val="00823F5F"/>
    <w:rsid w:val="0087592C"/>
    <w:rsid w:val="008A3A51"/>
    <w:rsid w:val="008B3B28"/>
    <w:rsid w:val="008F48BE"/>
    <w:rsid w:val="00943391"/>
    <w:rsid w:val="00982178"/>
    <w:rsid w:val="009831A0"/>
    <w:rsid w:val="009D0541"/>
    <w:rsid w:val="009E40AE"/>
    <w:rsid w:val="00AC232B"/>
    <w:rsid w:val="00BC4EDB"/>
    <w:rsid w:val="00BF0500"/>
    <w:rsid w:val="00C07F0B"/>
    <w:rsid w:val="00C42562"/>
    <w:rsid w:val="00CB391A"/>
    <w:rsid w:val="00CF265B"/>
    <w:rsid w:val="00CF3853"/>
    <w:rsid w:val="00D15BC1"/>
    <w:rsid w:val="00D24953"/>
    <w:rsid w:val="00D26B04"/>
    <w:rsid w:val="00DA3575"/>
    <w:rsid w:val="00DF514E"/>
    <w:rsid w:val="00E539FA"/>
    <w:rsid w:val="00E81959"/>
    <w:rsid w:val="00E96D1A"/>
    <w:rsid w:val="00EE1DFD"/>
    <w:rsid w:val="00EE3159"/>
    <w:rsid w:val="00F35B43"/>
    <w:rsid w:val="00F44978"/>
    <w:rsid w:val="00F60657"/>
    <w:rsid w:val="00FA67B6"/>
    <w:rsid w:val="59CD8032"/>
    <w:rsid w:val="73A68994"/>
    <w:rsid w:val="79FC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FCD90F2-2B4B-4552-A0C8-1739B16B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D47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47E1"/>
    <w:rPr>
      <w:rFonts w:ascii="Times New Roman" w:eastAsia="Times New Roman" w:hAnsi="Times New Roman" w:cs="Times New Roman"/>
      <w:b/>
      <w:bCs/>
      <w:sz w:val="24"/>
      <w:szCs w:val="24"/>
    </w:rPr>
  </w:style>
  <w:style w:type="paragraph" w:styleId="NormalWeb">
    <w:name w:val="Normal (Web)"/>
    <w:basedOn w:val="Normal"/>
    <w:uiPriority w:val="99"/>
    <w:unhideWhenUsed/>
    <w:rsid w:val="006D47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47E1"/>
    <w:pPr>
      <w:ind w:left="720"/>
      <w:contextualSpacing/>
    </w:pPr>
  </w:style>
  <w:style w:type="table" w:styleId="TableGrid">
    <w:name w:val="Table Grid"/>
    <w:basedOn w:val="TableNormal"/>
    <w:uiPriority w:val="39"/>
    <w:rsid w:val="00943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150"/>
  </w:style>
  <w:style w:type="paragraph" w:styleId="Footer">
    <w:name w:val="footer"/>
    <w:basedOn w:val="Normal"/>
    <w:link w:val="FooterChar"/>
    <w:uiPriority w:val="99"/>
    <w:unhideWhenUsed/>
    <w:rsid w:val="000B3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077271">
      <w:bodyDiv w:val="1"/>
      <w:marLeft w:val="0"/>
      <w:marRight w:val="0"/>
      <w:marTop w:val="0"/>
      <w:marBottom w:val="0"/>
      <w:divBdr>
        <w:top w:val="none" w:sz="0" w:space="0" w:color="auto"/>
        <w:left w:val="none" w:sz="0" w:space="0" w:color="auto"/>
        <w:bottom w:val="none" w:sz="0" w:space="0" w:color="auto"/>
        <w:right w:val="none" w:sz="0" w:space="0" w:color="auto"/>
      </w:divBdr>
    </w:div>
    <w:div w:id="1498377967">
      <w:bodyDiv w:val="1"/>
      <w:marLeft w:val="0"/>
      <w:marRight w:val="0"/>
      <w:marTop w:val="0"/>
      <w:marBottom w:val="0"/>
      <w:divBdr>
        <w:top w:val="none" w:sz="0" w:space="0" w:color="auto"/>
        <w:left w:val="none" w:sz="0" w:space="0" w:color="auto"/>
        <w:bottom w:val="none" w:sz="0" w:space="0" w:color="auto"/>
        <w:right w:val="none" w:sz="0" w:space="0" w:color="auto"/>
      </w:divBdr>
      <w:divsChild>
        <w:div w:id="200483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75399-774D-4DA2-8A81-31A8C82A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Shears</dc:creator>
  <cp:keywords/>
  <dc:description/>
  <cp:lastModifiedBy>Cynthia Reese</cp:lastModifiedBy>
  <cp:revision>4</cp:revision>
  <dcterms:created xsi:type="dcterms:W3CDTF">2019-05-20T15:00:00Z</dcterms:created>
  <dcterms:modified xsi:type="dcterms:W3CDTF">2019-05-20T15:01:00Z</dcterms:modified>
</cp:coreProperties>
</file>