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0F8E" w14:textId="4F739FD1" w:rsidR="003803FE" w:rsidRDefault="00EB06D1" w:rsidP="00EB0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6D1">
        <w:rPr>
          <w:rFonts w:ascii="Times New Roman" w:hAnsi="Times New Roman" w:cs="Times New Roman"/>
          <w:sz w:val="24"/>
          <w:szCs w:val="24"/>
        </w:rPr>
        <w:t>Executive Summary</w:t>
      </w:r>
    </w:p>
    <w:p w14:paraId="21C6E3AD" w14:textId="66193A03" w:rsidR="00EB06D1" w:rsidRDefault="00EB06D1" w:rsidP="00EB0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D380F2" w14:textId="1C4551AD" w:rsidR="00EB06D1" w:rsidRDefault="005B406A" w:rsidP="00EB0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Peralta Community Colleges’ </w:t>
      </w:r>
      <w:r w:rsidR="003272A2">
        <w:rPr>
          <w:rFonts w:ascii="Times New Roman" w:hAnsi="Times New Roman" w:cs="Times New Roman"/>
          <w:sz w:val="24"/>
          <w:szCs w:val="24"/>
        </w:rPr>
        <w:t>Integrated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73" w:rsidRPr="005B406A">
        <w:rPr>
          <w:rFonts w:ascii="Times New Roman" w:hAnsi="Times New Roman" w:cs="Times New Roman"/>
          <w:sz w:val="24"/>
          <w:szCs w:val="24"/>
        </w:rPr>
        <w:t>Financial Plan</w:t>
      </w:r>
      <w:r w:rsidR="003272A2">
        <w:rPr>
          <w:rFonts w:ascii="Times New Roman" w:hAnsi="Times New Roman" w:cs="Times New Roman"/>
          <w:sz w:val="24"/>
          <w:szCs w:val="24"/>
        </w:rPr>
        <w:t>, 2019-2024,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 was developed to provide the </w:t>
      </w:r>
      <w:r>
        <w:rPr>
          <w:rFonts w:ascii="Times New Roman" w:hAnsi="Times New Roman" w:cs="Times New Roman"/>
          <w:sz w:val="24"/>
          <w:szCs w:val="24"/>
        </w:rPr>
        <w:t>District and its four colleges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 with one document, which outlines the processes adopted by the </w:t>
      </w:r>
      <w:r>
        <w:rPr>
          <w:rFonts w:ascii="Times New Roman" w:hAnsi="Times New Roman" w:cs="Times New Roman"/>
          <w:sz w:val="24"/>
          <w:szCs w:val="24"/>
        </w:rPr>
        <w:t xml:space="preserve">District through shared governance </w:t>
      </w:r>
      <w:r w:rsidR="005A1773" w:rsidRPr="005B406A">
        <w:rPr>
          <w:rFonts w:ascii="Times New Roman" w:hAnsi="Times New Roman" w:cs="Times New Roman"/>
          <w:sz w:val="24"/>
          <w:szCs w:val="24"/>
        </w:rPr>
        <w:t>to provide effective budgetary decision</w:t>
      </w:r>
      <w:r w:rsidR="00E27100">
        <w:rPr>
          <w:rFonts w:ascii="Times New Roman" w:hAnsi="Times New Roman" w:cs="Times New Roman"/>
          <w:sz w:val="24"/>
          <w:szCs w:val="24"/>
        </w:rPr>
        <w:t>-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making including all long-range financial commitments. </w:t>
      </w:r>
      <w:r w:rsidR="002D42DC">
        <w:rPr>
          <w:rFonts w:ascii="Times New Roman" w:hAnsi="Times New Roman" w:cs="Times New Roman"/>
          <w:sz w:val="24"/>
          <w:szCs w:val="24"/>
        </w:rPr>
        <w:t>This Plan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 utilize</w:t>
      </w:r>
      <w:r w:rsidR="006A7BD2">
        <w:rPr>
          <w:rFonts w:ascii="Times New Roman" w:hAnsi="Times New Roman" w:cs="Times New Roman"/>
          <w:sz w:val="24"/>
          <w:szCs w:val="24"/>
        </w:rPr>
        <w:t>d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 the most </w:t>
      </w:r>
      <w:r>
        <w:rPr>
          <w:rFonts w:ascii="Times New Roman" w:hAnsi="Times New Roman" w:cs="Times New Roman"/>
          <w:sz w:val="24"/>
          <w:szCs w:val="24"/>
        </w:rPr>
        <w:t xml:space="preserve">recent actual budget 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(FY 2017/18) as the baseline for analysis, and all known funding </w:t>
      </w:r>
      <w:r w:rsidR="00851A50">
        <w:rPr>
          <w:rFonts w:ascii="Times New Roman" w:hAnsi="Times New Roman" w:cs="Times New Roman"/>
          <w:sz w:val="24"/>
          <w:szCs w:val="24"/>
        </w:rPr>
        <w:t>trends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from the </w:t>
      </w:r>
      <w:r w:rsidR="00851A50">
        <w:rPr>
          <w:rFonts w:ascii="Times New Roman" w:hAnsi="Times New Roman" w:cs="Times New Roman"/>
          <w:sz w:val="24"/>
          <w:szCs w:val="24"/>
        </w:rPr>
        <w:t>State and local sources to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 project </w:t>
      </w:r>
      <w:r w:rsidR="00851A50">
        <w:rPr>
          <w:rFonts w:ascii="Times New Roman" w:hAnsi="Times New Roman" w:cs="Times New Roman"/>
          <w:sz w:val="24"/>
          <w:szCs w:val="24"/>
        </w:rPr>
        <w:t xml:space="preserve">revenues and potential expenditures </w:t>
      </w:r>
      <w:r w:rsidR="002D42DC">
        <w:rPr>
          <w:rFonts w:ascii="Times New Roman" w:hAnsi="Times New Roman" w:cs="Times New Roman"/>
          <w:sz w:val="24"/>
          <w:szCs w:val="24"/>
        </w:rPr>
        <w:t xml:space="preserve">in order 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to assist </w:t>
      </w:r>
      <w:r w:rsidR="0056786E">
        <w:rPr>
          <w:rFonts w:ascii="Times New Roman" w:hAnsi="Times New Roman" w:cs="Times New Roman"/>
          <w:sz w:val="24"/>
          <w:szCs w:val="24"/>
        </w:rPr>
        <w:t xml:space="preserve">PCCD </w:t>
      </w:r>
      <w:r w:rsidR="005A1773" w:rsidRPr="005B406A">
        <w:rPr>
          <w:rFonts w:ascii="Times New Roman" w:hAnsi="Times New Roman" w:cs="Times New Roman"/>
          <w:sz w:val="24"/>
          <w:szCs w:val="24"/>
        </w:rPr>
        <w:t xml:space="preserve">in developing funding strategies for a </w:t>
      </w:r>
      <w:r w:rsidR="00851A50">
        <w:rPr>
          <w:rFonts w:ascii="Times New Roman" w:hAnsi="Times New Roman" w:cs="Times New Roman"/>
          <w:sz w:val="24"/>
          <w:szCs w:val="24"/>
        </w:rPr>
        <w:t>five-</w:t>
      </w:r>
      <w:r w:rsidR="005A1773" w:rsidRPr="005B406A">
        <w:rPr>
          <w:rFonts w:ascii="Times New Roman" w:hAnsi="Times New Roman" w:cs="Times New Roman"/>
          <w:sz w:val="24"/>
          <w:szCs w:val="24"/>
        </w:rPr>
        <w:t>year time frame.</w:t>
      </w:r>
    </w:p>
    <w:p w14:paraId="3AA38EBD" w14:textId="2FA7BAB5" w:rsidR="006B4878" w:rsidRDefault="006B4878" w:rsidP="00EB0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54F50" w14:textId="15F65352" w:rsidR="006B4878" w:rsidRDefault="006B4878" w:rsidP="006B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newly introduced </w:t>
      </w:r>
      <w:hyperlink r:id="rId8" w:history="1">
        <w:r w:rsidRPr="006A7BD2">
          <w:rPr>
            <w:rStyle w:val="Hyperlink"/>
            <w:rFonts w:ascii="Times New Roman" w:hAnsi="Times New Roman" w:cs="Times New Roman"/>
            <w:sz w:val="24"/>
            <w:szCs w:val="24"/>
          </w:rPr>
          <w:t>Student Centered Funding Formula (SCFF)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the State is one of the main force</w:t>
      </w:r>
      <w:r w:rsidR="006174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behind the development of this </w:t>
      </w:r>
      <w:r w:rsidR="003272A2">
        <w:rPr>
          <w:rFonts w:ascii="Times New Roman" w:hAnsi="Times New Roman" w:cs="Times New Roman"/>
          <w:sz w:val="24"/>
          <w:szCs w:val="24"/>
        </w:rPr>
        <w:t>Integrated</w:t>
      </w:r>
      <w:r>
        <w:rPr>
          <w:rFonts w:ascii="Times New Roman" w:hAnsi="Times New Roman" w:cs="Times New Roman"/>
          <w:sz w:val="24"/>
          <w:szCs w:val="24"/>
        </w:rPr>
        <w:t xml:space="preserve"> Financial Plan.  In August 2018, the State Chancellor Eloy Ortiz Oakley announced: “…California’s state leaders have truly delivered on a promise to put students first and set an example for the rest of the nation by adopting a new funding formula that ince</w:t>
      </w:r>
      <w:r w:rsidR="006A7BD2">
        <w:rPr>
          <w:rFonts w:ascii="Times New Roman" w:hAnsi="Times New Roman" w:cs="Times New Roman"/>
          <w:sz w:val="24"/>
          <w:szCs w:val="24"/>
        </w:rPr>
        <w:t xml:space="preserve">ntivizes student success…” </w:t>
      </w:r>
      <w:r w:rsidR="003272A2">
        <w:rPr>
          <w:rFonts w:ascii="Times New Roman" w:hAnsi="Times New Roman" w:cs="Times New Roman"/>
          <w:sz w:val="24"/>
          <w:szCs w:val="24"/>
        </w:rPr>
        <w:t xml:space="preserve"> </w:t>
      </w:r>
      <w:r w:rsidR="006A7BD2">
        <w:rPr>
          <w:rFonts w:ascii="Times New Roman" w:hAnsi="Times New Roman" w:cs="Times New Roman"/>
          <w:sz w:val="24"/>
          <w:szCs w:val="24"/>
        </w:rPr>
        <w:t>SCFF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D2">
        <w:rPr>
          <w:rFonts w:ascii="Times New Roman" w:hAnsi="Times New Roman" w:cs="Times New Roman"/>
          <w:sz w:val="24"/>
          <w:szCs w:val="24"/>
        </w:rPr>
        <w:t xml:space="preserve">generally uses </w:t>
      </w:r>
      <w:r>
        <w:rPr>
          <w:rFonts w:ascii="Times New Roman" w:hAnsi="Times New Roman" w:cs="Times New Roman"/>
          <w:sz w:val="24"/>
          <w:szCs w:val="24"/>
        </w:rPr>
        <w:t>three allocations:</w:t>
      </w:r>
    </w:p>
    <w:p w14:paraId="710078E4" w14:textId="77777777" w:rsidR="006B4878" w:rsidRDefault="006B4878" w:rsidP="006B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AB1F3" w14:textId="1D0FEFFC" w:rsidR="006B4878" w:rsidRPr="00B1775B" w:rsidRDefault="006B4878" w:rsidP="006B48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75B">
        <w:rPr>
          <w:rFonts w:ascii="Times New Roman" w:hAnsi="Times New Roman" w:cs="Times New Roman"/>
          <w:sz w:val="24"/>
          <w:szCs w:val="24"/>
        </w:rPr>
        <w:t>Based Allocation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1775B">
        <w:rPr>
          <w:rFonts w:ascii="Times New Roman" w:hAnsi="Times New Roman" w:cs="Times New Roman"/>
          <w:sz w:val="24"/>
          <w:szCs w:val="24"/>
        </w:rPr>
        <w:t xml:space="preserve"> – current factor (primarily </w:t>
      </w:r>
      <w:r w:rsidR="0061749D">
        <w:rPr>
          <w:rFonts w:ascii="Times New Roman" w:hAnsi="Times New Roman" w:cs="Times New Roman"/>
          <w:sz w:val="24"/>
          <w:szCs w:val="24"/>
        </w:rPr>
        <w:t xml:space="preserve">in-state </w:t>
      </w:r>
      <w:r w:rsidRPr="00B1775B">
        <w:rPr>
          <w:rFonts w:ascii="Times New Roman" w:hAnsi="Times New Roman" w:cs="Times New Roman"/>
          <w:sz w:val="24"/>
          <w:szCs w:val="24"/>
        </w:rPr>
        <w:t>credit FTES)</w:t>
      </w:r>
    </w:p>
    <w:p w14:paraId="12F97924" w14:textId="4DB5A2B6" w:rsidR="006B4878" w:rsidRPr="00B1775B" w:rsidRDefault="006B4878" w:rsidP="006B48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75B">
        <w:rPr>
          <w:rFonts w:ascii="Times New Roman" w:hAnsi="Times New Roman" w:cs="Times New Roman"/>
          <w:sz w:val="24"/>
          <w:szCs w:val="24"/>
        </w:rPr>
        <w:t xml:space="preserve">Supplemental Allocation – counts of low-income students, including Pell grant recipients, California College Promise </w:t>
      </w:r>
      <w:r w:rsidR="006A7BD2">
        <w:rPr>
          <w:rFonts w:ascii="Times New Roman" w:hAnsi="Times New Roman" w:cs="Times New Roman"/>
          <w:sz w:val="24"/>
          <w:szCs w:val="24"/>
        </w:rPr>
        <w:t xml:space="preserve">Grant </w:t>
      </w:r>
      <w:r w:rsidRPr="00B1775B">
        <w:rPr>
          <w:rFonts w:ascii="Times New Roman" w:hAnsi="Times New Roman" w:cs="Times New Roman"/>
          <w:sz w:val="24"/>
          <w:szCs w:val="24"/>
        </w:rPr>
        <w:t>recipients, and AB 540 students, in the prior year</w:t>
      </w:r>
    </w:p>
    <w:p w14:paraId="07A926F5" w14:textId="44547297" w:rsidR="006B4878" w:rsidRDefault="006B4878" w:rsidP="006B48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75B">
        <w:rPr>
          <w:rFonts w:ascii="Times New Roman" w:hAnsi="Times New Roman" w:cs="Times New Roman"/>
          <w:sz w:val="24"/>
          <w:szCs w:val="24"/>
        </w:rPr>
        <w:t xml:space="preserve">Student Success Allocation – counts of outcomes related to the </w:t>
      </w:r>
      <w:hyperlink r:id="rId9" w:history="1">
        <w:r w:rsidRPr="00B1775B">
          <w:rPr>
            <w:rStyle w:val="Hyperlink"/>
            <w:rFonts w:ascii="Times New Roman" w:hAnsi="Times New Roman" w:cs="Times New Roman"/>
            <w:sz w:val="24"/>
            <w:szCs w:val="24"/>
          </w:rPr>
          <w:t>Vision for Success</w:t>
        </w:r>
      </w:hyperlink>
      <w:r>
        <w:rPr>
          <w:rStyle w:val="FootnoteReference"/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ootnoteReference w:id="2"/>
      </w:r>
      <w:r w:rsidRPr="00B1775B">
        <w:rPr>
          <w:rFonts w:ascii="Times New Roman" w:hAnsi="Times New Roman" w:cs="Times New Roman"/>
          <w:sz w:val="24"/>
          <w:szCs w:val="24"/>
        </w:rPr>
        <w:t>, with “premiums” for outcomes of low-income students</w:t>
      </w:r>
    </w:p>
    <w:p w14:paraId="7F48466A" w14:textId="77777777" w:rsidR="006B4878" w:rsidRDefault="006B4878" w:rsidP="006B4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C2404E" w14:textId="77777777" w:rsidR="006B4878" w:rsidRDefault="006B4878" w:rsidP="006B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200">
        <w:rPr>
          <w:rFonts w:ascii="Times New Roman" w:hAnsi="Times New Roman" w:cs="Times New Roman"/>
          <w:b/>
          <w:sz w:val="24"/>
          <w:szCs w:val="24"/>
        </w:rPr>
        <w:t xml:space="preserve">Student Centered Funding </w:t>
      </w:r>
      <w:r>
        <w:rPr>
          <w:rFonts w:ascii="Times New Roman" w:hAnsi="Times New Roman" w:cs="Times New Roman"/>
          <w:b/>
          <w:sz w:val="24"/>
          <w:szCs w:val="24"/>
        </w:rPr>
        <w:t>Formula (SCFF)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80"/>
        <w:gridCol w:w="2160"/>
        <w:gridCol w:w="2245"/>
      </w:tblGrid>
      <w:tr w:rsidR="006B4878" w14:paraId="10C1F8DC" w14:textId="77777777" w:rsidTr="005C74F4">
        <w:tc>
          <w:tcPr>
            <w:tcW w:w="2965" w:type="dxa"/>
          </w:tcPr>
          <w:p w14:paraId="4129A41D" w14:textId="77777777" w:rsidR="006B4878" w:rsidRPr="000C7D47" w:rsidRDefault="006B4878" w:rsidP="005C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Key Funding Sources</w:t>
            </w:r>
          </w:p>
        </w:tc>
        <w:tc>
          <w:tcPr>
            <w:tcW w:w="1980" w:type="dxa"/>
          </w:tcPr>
          <w:p w14:paraId="7589B3B7" w14:textId="77777777" w:rsidR="006B4878" w:rsidRPr="000C7D47" w:rsidRDefault="006B4878" w:rsidP="005C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Actual 2018-19</w:t>
            </w:r>
          </w:p>
        </w:tc>
        <w:tc>
          <w:tcPr>
            <w:tcW w:w="2160" w:type="dxa"/>
          </w:tcPr>
          <w:p w14:paraId="3EC062C0" w14:textId="03772515" w:rsidR="006B4878" w:rsidRPr="000C7D47" w:rsidRDefault="006A7BD2" w:rsidP="005C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2019-20**</w:t>
            </w:r>
          </w:p>
        </w:tc>
        <w:tc>
          <w:tcPr>
            <w:tcW w:w="2245" w:type="dxa"/>
          </w:tcPr>
          <w:p w14:paraId="75992F8C" w14:textId="4BC9B9CE" w:rsidR="006B4878" w:rsidRPr="000C7D47" w:rsidRDefault="006A7BD2" w:rsidP="005C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2020-21**</w:t>
            </w:r>
          </w:p>
        </w:tc>
      </w:tr>
      <w:tr w:rsidR="006B4878" w14:paraId="55B79739" w14:textId="77777777" w:rsidTr="005C74F4">
        <w:tc>
          <w:tcPr>
            <w:tcW w:w="2965" w:type="dxa"/>
          </w:tcPr>
          <w:p w14:paraId="7C74D215" w14:textId="77777777" w:rsidR="006B4878" w:rsidRPr="000C7D47" w:rsidRDefault="006B4878" w:rsidP="005C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Credit FTES*</w:t>
            </w:r>
          </w:p>
        </w:tc>
        <w:tc>
          <w:tcPr>
            <w:tcW w:w="1980" w:type="dxa"/>
          </w:tcPr>
          <w:p w14:paraId="28AC5861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$3,727 per FTES</w:t>
            </w:r>
          </w:p>
        </w:tc>
        <w:tc>
          <w:tcPr>
            <w:tcW w:w="2160" w:type="dxa"/>
          </w:tcPr>
          <w:p w14:paraId="76C758AD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$3,387 per FTES</w:t>
            </w:r>
          </w:p>
        </w:tc>
        <w:tc>
          <w:tcPr>
            <w:tcW w:w="2245" w:type="dxa"/>
          </w:tcPr>
          <w:p w14:paraId="58A1E413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$3,046 per FTES</w:t>
            </w:r>
          </w:p>
        </w:tc>
      </w:tr>
      <w:tr w:rsidR="006B4878" w14:paraId="78832435" w14:textId="77777777" w:rsidTr="005C74F4">
        <w:tc>
          <w:tcPr>
            <w:tcW w:w="2965" w:type="dxa"/>
          </w:tcPr>
          <w:p w14:paraId="7F315C3D" w14:textId="3102AE57" w:rsidR="006B4878" w:rsidRPr="000C7D47" w:rsidRDefault="006A7BD2" w:rsidP="005C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Supplemental Allocation</w:t>
            </w:r>
          </w:p>
        </w:tc>
        <w:tc>
          <w:tcPr>
            <w:tcW w:w="1980" w:type="dxa"/>
          </w:tcPr>
          <w:p w14:paraId="23AC9E00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$21,545,955</w:t>
            </w:r>
          </w:p>
        </w:tc>
        <w:tc>
          <w:tcPr>
            <w:tcW w:w="2160" w:type="dxa"/>
          </w:tcPr>
          <w:p w14:paraId="303639FF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$22,099,726</w:t>
            </w:r>
          </w:p>
        </w:tc>
        <w:tc>
          <w:tcPr>
            <w:tcW w:w="2245" w:type="dxa"/>
          </w:tcPr>
          <w:p w14:paraId="2B5BB6DE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$22,689,837</w:t>
            </w:r>
          </w:p>
        </w:tc>
      </w:tr>
      <w:tr w:rsidR="006B4878" w14:paraId="0E68B373" w14:textId="77777777" w:rsidTr="005C74F4">
        <w:tc>
          <w:tcPr>
            <w:tcW w:w="2965" w:type="dxa"/>
          </w:tcPr>
          <w:p w14:paraId="5A1102FB" w14:textId="77777777" w:rsidR="006B4878" w:rsidRPr="000C7D47" w:rsidRDefault="006B4878" w:rsidP="005C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47">
              <w:rPr>
                <w:rFonts w:ascii="Times New Roman" w:hAnsi="Times New Roman" w:cs="Times New Roman"/>
                <w:sz w:val="20"/>
                <w:szCs w:val="20"/>
              </w:rPr>
              <w:t>Student Success Allocation</w:t>
            </w:r>
          </w:p>
        </w:tc>
        <w:tc>
          <w:tcPr>
            <w:tcW w:w="1980" w:type="dxa"/>
          </w:tcPr>
          <w:p w14:paraId="59AC4F98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$11,773,120</w:t>
            </w:r>
          </w:p>
        </w:tc>
        <w:tc>
          <w:tcPr>
            <w:tcW w:w="2160" w:type="dxa"/>
          </w:tcPr>
          <w:p w14:paraId="42765016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$18,126,869</w:t>
            </w:r>
          </w:p>
        </w:tc>
        <w:tc>
          <w:tcPr>
            <w:tcW w:w="2245" w:type="dxa"/>
          </w:tcPr>
          <w:p w14:paraId="4FEB3BFA" w14:textId="77777777" w:rsidR="006B4878" w:rsidRPr="000C7D47" w:rsidRDefault="006B4878" w:rsidP="005C7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$24,796,221</w:t>
            </w:r>
          </w:p>
        </w:tc>
      </w:tr>
    </w:tbl>
    <w:p w14:paraId="61B8FD25" w14:textId="77777777" w:rsidR="006B4878" w:rsidRDefault="006B4878" w:rsidP="003B60F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F650E5A" w14:textId="22D72F79" w:rsidR="0061749D" w:rsidRDefault="006B4878" w:rsidP="00617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878">
        <w:rPr>
          <w:rFonts w:ascii="Times New Roman" w:hAnsi="Times New Roman" w:cs="Times New Roman"/>
          <w:sz w:val="24"/>
          <w:szCs w:val="24"/>
        </w:rPr>
        <w:t xml:space="preserve">The other major force </w:t>
      </w:r>
      <w:r>
        <w:rPr>
          <w:rFonts w:ascii="Times New Roman" w:hAnsi="Times New Roman" w:cs="Times New Roman"/>
          <w:sz w:val="24"/>
          <w:szCs w:val="24"/>
        </w:rPr>
        <w:t xml:space="preserve">behind the development of this </w:t>
      </w:r>
      <w:r w:rsidR="0061749D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was that the District has been experiencing various financial challenges.  </w:t>
      </w:r>
      <w:r w:rsidR="0061749D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rimary</w:t>
      </w:r>
      <w:r w:rsidR="0061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challenges include </w:t>
      </w:r>
      <w:r w:rsidR="003B60F1">
        <w:rPr>
          <w:rFonts w:ascii="Times New Roman" w:hAnsi="Times New Roman" w:cs="Times New Roman"/>
          <w:sz w:val="24"/>
          <w:szCs w:val="24"/>
        </w:rPr>
        <w:t xml:space="preserve">the declining </w:t>
      </w:r>
      <w:r w:rsidR="003B60F1" w:rsidRPr="7176597F">
        <w:rPr>
          <w:rFonts w:ascii="Times New Roman" w:hAnsi="Times New Roman" w:cs="Times New Roman"/>
          <w:sz w:val="24"/>
          <w:szCs w:val="24"/>
        </w:rPr>
        <w:t>resident FTES</w:t>
      </w:r>
      <w:r w:rsidR="003B60F1">
        <w:rPr>
          <w:rFonts w:ascii="Times New Roman" w:hAnsi="Times New Roman" w:cs="Times New Roman"/>
          <w:sz w:val="24"/>
          <w:szCs w:val="24"/>
        </w:rPr>
        <w:t xml:space="preserve">, </w:t>
      </w:r>
      <w:r w:rsidR="003B60F1" w:rsidRPr="7176597F">
        <w:rPr>
          <w:rFonts w:ascii="Times New Roman" w:hAnsi="Times New Roman" w:cs="Times New Roman"/>
          <w:sz w:val="24"/>
          <w:szCs w:val="24"/>
        </w:rPr>
        <w:t>material weakness and significant deficiencies</w:t>
      </w:r>
      <w:r w:rsidR="003B60F1">
        <w:rPr>
          <w:rFonts w:ascii="Times New Roman" w:hAnsi="Times New Roman" w:cs="Times New Roman"/>
          <w:sz w:val="24"/>
          <w:szCs w:val="24"/>
        </w:rPr>
        <w:t xml:space="preserve"> discovered through Independent Audit Findings</w:t>
      </w:r>
      <w:r w:rsidR="003B60F1" w:rsidRPr="7176597F">
        <w:rPr>
          <w:rFonts w:ascii="Times New Roman" w:hAnsi="Times New Roman" w:cs="Times New Roman"/>
          <w:sz w:val="24"/>
          <w:szCs w:val="24"/>
        </w:rPr>
        <w:t>, ou</w:t>
      </w:r>
      <w:r w:rsidR="003B60F1">
        <w:rPr>
          <w:rFonts w:ascii="Times New Roman" w:hAnsi="Times New Roman" w:cs="Times New Roman"/>
          <w:sz w:val="24"/>
          <w:szCs w:val="24"/>
        </w:rPr>
        <w:t xml:space="preserve">tstanding OPEB liabilities, </w:t>
      </w:r>
      <w:r w:rsidR="003B60F1" w:rsidRPr="7176597F">
        <w:rPr>
          <w:rFonts w:ascii="Times New Roman" w:hAnsi="Times New Roman" w:cs="Times New Roman"/>
          <w:sz w:val="24"/>
          <w:szCs w:val="24"/>
        </w:rPr>
        <w:t>high executive level staff turnover</w:t>
      </w:r>
      <w:r w:rsidR="003B60F1">
        <w:rPr>
          <w:rFonts w:ascii="Times New Roman" w:hAnsi="Times New Roman" w:cs="Times New Roman"/>
          <w:sz w:val="24"/>
          <w:szCs w:val="24"/>
        </w:rPr>
        <w:t xml:space="preserve">, and </w:t>
      </w:r>
      <w:r w:rsidR="0061749D">
        <w:rPr>
          <w:rFonts w:ascii="Times New Roman" w:hAnsi="Times New Roman" w:cs="Times New Roman"/>
          <w:sz w:val="24"/>
          <w:szCs w:val="24"/>
        </w:rPr>
        <w:t>d</w:t>
      </w:r>
      <w:r w:rsidR="003B60F1">
        <w:rPr>
          <w:rFonts w:ascii="Times New Roman" w:hAnsi="Times New Roman" w:cs="Times New Roman"/>
          <w:sz w:val="24"/>
          <w:szCs w:val="24"/>
        </w:rPr>
        <w:t xml:space="preserve">istrictwide </w:t>
      </w:r>
      <w:r w:rsidR="0061749D">
        <w:rPr>
          <w:rFonts w:ascii="Times New Roman" w:hAnsi="Times New Roman" w:cs="Times New Roman"/>
          <w:sz w:val="24"/>
          <w:szCs w:val="24"/>
        </w:rPr>
        <w:t>structural</w:t>
      </w:r>
      <w:r w:rsidR="003B60F1">
        <w:rPr>
          <w:rFonts w:ascii="Times New Roman" w:hAnsi="Times New Roman" w:cs="Times New Roman"/>
          <w:sz w:val="24"/>
          <w:szCs w:val="24"/>
        </w:rPr>
        <w:t xml:space="preserve"> deficit</w:t>
      </w:r>
      <w:r w:rsidR="003B60F1" w:rsidRPr="7176597F">
        <w:rPr>
          <w:rFonts w:ascii="Times New Roman" w:hAnsi="Times New Roman" w:cs="Times New Roman"/>
          <w:sz w:val="24"/>
          <w:szCs w:val="24"/>
        </w:rPr>
        <w:t xml:space="preserve">.  </w:t>
      </w:r>
      <w:r w:rsidR="006A7BD2">
        <w:rPr>
          <w:rFonts w:ascii="Times New Roman" w:hAnsi="Times New Roman" w:cs="Times New Roman"/>
          <w:sz w:val="24"/>
          <w:szCs w:val="24"/>
        </w:rPr>
        <w:t>As shown in the table below, w</w:t>
      </w:r>
      <w:r w:rsidR="0061749D" w:rsidRPr="7176597F">
        <w:rPr>
          <w:rFonts w:ascii="Times New Roman" w:hAnsi="Times New Roman" w:cs="Times New Roman"/>
          <w:sz w:val="24"/>
          <w:szCs w:val="24"/>
        </w:rPr>
        <w:t xml:space="preserve">ithout any intervention to take on </w:t>
      </w:r>
      <w:r w:rsidR="0061749D">
        <w:rPr>
          <w:rFonts w:ascii="Times New Roman" w:hAnsi="Times New Roman" w:cs="Times New Roman"/>
          <w:sz w:val="24"/>
          <w:szCs w:val="24"/>
        </w:rPr>
        <w:t>these challenges</w:t>
      </w:r>
      <w:r w:rsidR="0061749D" w:rsidRPr="7176597F">
        <w:rPr>
          <w:rFonts w:ascii="Times New Roman" w:hAnsi="Times New Roman" w:cs="Times New Roman"/>
          <w:sz w:val="24"/>
          <w:szCs w:val="24"/>
        </w:rPr>
        <w:t xml:space="preserve">, PCCD will </w:t>
      </w:r>
      <w:r w:rsidR="0061749D" w:rsidRPr="00844338">
        <w:rPr>
          <w:rFonts w:ascii="Times New Roman" w:hAnsi="Times New Roman" w:cs="Times New Roman"/>
          <w:sz w:val="24"/>
          <w:szCs w:val="24"/>
        </w:rPr>
        <w:t>experience a budget</w:t>
      </w:r>
      <w:r w:rsidR="0061749D" w:rsidRPr="7176597F">
        <w:rPr>
          <w:rFonts w:ascii="Times New Roman" w:hAnsi="Times New Roman" w:cs="Times New Roman"/>
          <w:sz w:val="24"/>
          <w:szCs w:val="24"/>
        </w:rPr>
        <w:t xml:space="preserve"> deficit this year and the next five years to come. </w:t>
      </w:r>
    </w:p>
    <w:tbl>
      <w:tblPr>
        <w:tblW w:w="8956" w:type="dxa"/>
        <w:tblLook w:val="04A0" w:firstRow="1" w:lastRow="0" w:firstColumn="1" w:lastColumn="0" w:noHBand="0" w:noVBand="1"/>
      </w:tblPr>
      <w:tblGrid>
        <w:gridCol w:w="1660"/>
        <w:gridCol w:w="1216"/>
        <w:gridCol w:w="1216"/>
        <w:gridCol w:w="1216"/>
        <w:gridCol w:w="1216"/>
        <w:gridCol w:w="1216"/>
        <w:gridCol w:w="1216"/>
      </w:tblGrid>
      <w:tr w:rsidR="00E1287D" w:rsidRPr="00E1287D" w14:paraId="7AFCE1C7" w14:textId="77777777" w:rsidTr="00E1287D">
        <w:trPr>
          <w:trHeight w:val="5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420" w14:textId="77777777" w:rsidR="00E1287D" w:rsidRPr="00E1287D" w:rsidRDefault="00E1287D" w:rsidP="00E1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9C6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Amended Budget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D29C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E90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4428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510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5B2F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 Year</w:t>
            </w:r>
          </w:p>
        </w:tc>
      </w:tr>
      <w:tr w:rsidR="00E1287D" w:rsidRPr="00E1287D" w14:paraId="3944E209" w14:textId="77777777" w:rsidTr="00E1287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8FA" w14:textId="77777777" w:rsidR="00E1287D" w:rsidRPr="00E1287D" w:rsidRDefault="00E1287D" w:rsidP="00E1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80F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E1A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F96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D05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8A6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E5C" w14:textId="77777777" w:rsidR="00E1287D" w:rsidRPr="00E1287D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2023-24</w:t>
            </w:r>
          </w:p>
        </w:tc>
      </w:tr>
      <w:tr w:rsidR="00E1287D" w:rsidRPr="00E1287D" w14:paraId="02DCC971" w14:textId="77777777" w:rsidTr="00E1287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91B" w14:textId="77777777" w:rsidR="00E1287D" w:rsidRPr="00E1287D" w:rsidRDefault="00E1287D" w:rsidP="00E1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Revenue 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AD6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153,129,619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F43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151,726,101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05C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154,687,952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601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155,548,277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121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155,548,277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D86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155,548,277 </w:t>
            </w:r>
          </w:p>
        </w:tc>
      </w:tr>
      <w:tr w:rsidR="00E1287D" w:rsidRPr="00E1287D" w14:paraId="67F41896" w14:textId="77777777" w:rsidTr="00E1287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A85" w14:textId="77777777" w:rsidR="00E1287D" w:rsidRPr="00E1287D" w:rsidRDefault="00E1287D" w:rsidP="00E1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Expenditures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28C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153,551,507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393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152,042,829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984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156,647,312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200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157,495,190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3B2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157,991,296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841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163,135,130 </w:t>
            </w:r>
          </w:p>
        </w:tc>
      </w:tr>
      <w:tr w:rsidR="00E1287D" w:rsidRPr="00E1287D" w14:paraId="31ABE2C1" w14:textId="77777777" w:rsidTr="00E1287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FD1" w14:textId="35B6B175" w:rsidR="00E1287D" w:rsidRPr="00E1287D" w:rsidRDefault="00E1287D" w:rsidP="00E1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Forecas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E12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 Balance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8EC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(421,888)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82F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(316,728)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60D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(1,959,360)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EE7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(1,946,913)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943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(2,443,019)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4E8" w14:textId="77777777" w:rsidR="00E1287D" w:rsidRPr="00E1287D" w:rsidRDefault="00E1287D" w:rsidP="00E1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8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(7,586,853)</w:t>
            </w:r>
          </w:p>
        </w:tc>
      </w:tr>
    </w:tbl>
    <w:p w14:paraId="447AA8DD" w14:textId="17BA04F4" w:rsidR="003B60F1" w:rsidRDefault="003B60F1" w:rsidP="003B6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0AB0A" w14:textId="0813E330" w:rsidR="00641D56" w:rsidRPr="0067037B" w:rsidRDefault="006A7BD2" w:rsidP="00641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60F1">
        <w:rPr>
          <w:rFonts w:ascii="Times New Roman" w:hAnsi="Times New Roman" w:cs="Times New Roman"/>
          <w:sz w:val="24"/>
          <w:szCs w:val="24"/>
        </w:rPr>
        <w:t>acing both opportunities and crisis, the District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0F1">
        <w:rPr>
          <w:rFonts w:ascii="Times New Roman" w:hAnsi="Times New Roman" w:cs="Times New Roman"/>
          <w:sz w:val="24"/>
          <w:szCs w:val="24"/>
        </w:rPr>
        <w:t xml:space="preserve"> together with the four colleges</w:t>
      </w:r>
      <w:r>
        <w:rPr>
          <w:rFonts w:ascii="Times New Roman" w:hAnsi="Times New Roman" w:cs="Times New Roman"/>
          <w:sz w:val="24"/>
          <w:szCs w:val="24"/>
        </w:rPr>
        <w:t xml:space="preserve">, has </w:t>
      </w:r>
      <w:r w:rsidR="7176597F" w:rsidRPr="7176597F">
        <w:rPr>
          <w:rFonts w:ascii="Times New Roman" w:hAnsi="Times New Roman" w:cs="Times New Roman"/>
          <w:sz w:val="24"/>
          <w:szCs w:val="24"/>
        </w:rPr>
        <w:t>been and will continue to proactively develop and imple</w:t>
      </w:r>
      <w:r w:rsidR="003B60F1">
        <w:rPr>
          <w:rFonts w:ascii="Times New Roman" w:hAnsi="Times New Roman" w:cs="Times New Roman"/>
          <w:sz w:val="24"/>
          <w:szCs w:val="24"/>
        </w:rPr>
        <w:t xml:space="preserve">ment action plans to reverse </w:t>
      </w:r>
      <w:r w:rsidR="003272A2">
        <w:rPr>
          <w:rFonts w:ascii="Times New Roman" w:hAnsi="Times New Roman" w:cs="Times New Roman"/>
          <w:sz w:val="24"/>
          <w:szCs w:val="24"/>
        </w:rPr>
        <w:t>this</w:t>
      </w:r>
      <w:r w:rsidR="003B60F1">
        <w:rPr>
          <w:rFonts w:ascii="Times New Roman" w:hAnsi="Times New Roman" w:cs="Times New Roman"/>
          <w:sz w:val="24"/>
          <w:szCs w:val="24"/>
        </w:rPr>
        <w:t xml:space="preserve"> financial</w:t>
      </w:r>
      <w:r w:rsidR="7176597F" w:rsidRPr="7176597F">
        <w:rPr>
          <w:rFonts w:ascii="Times New Roman" w:hAnsi="Times New Roman" w:cs="Times New Roman"/>
          <w:sz w:val="24"/>
          <w:szCs w:val="24"/>
        </w:rPr>
        <w:t xml:space="preserve"> downward spiral. </w:t>
      </w:r>
      <w:r w:rsidR="00641D56">
        <w:rPr>
          <w:rFonts w:ascii="Times New Roman" w:hAnsi="Times New Roman" w:cs="Times New Roman"/>
          <w:sz w:val="24"/>
          <w:szCs w:val="24"/>
        </w:rPr>
        <w:t>Several aspects of this</w:t>
      </w:r>
      <w:r w:rsidR="00641D56" w:rsidRPr="0067037B">
        <w:rPr>
          <w:rFonts w:ascii="Times New Roman" w:hAnsi="Times New Roman" w:cs="Times New Roman"/>
          <w:sz w:val="24"/>
          <w:szCs w:val="24"/>
        </w:rPr>
        <w:t xml:space="preserve"> Plan have already been implemented in the 2018</w:t>
      </w:r>
      <w:r w:rsidR="00E27100">
        <w:rPr>
          <w:rFonts w:ascii="Times New Roman" w:hAnsi="Times New Roman" w:cs="Times New Roman"/>
          <w:sz w:val="24"/>
          <w:szCs w:val="24"/>
        </w:rPr>
        <w:t>/</w:t>
      </w:r>
      <w:r w:rsidR="00641D56" w:rsidRPr="0067037B">
        <w:rPr>
          <w:rFonts w:ascii="Times New Roman" w:hAnsi="Times New Roman" w:cs="Times New Roman"/>
          <w:sz w:val="24"/>
          <w:szCs w:val="24"/>
        </w:rPr>
        <w:t xml:space="preserve">19 academic year resulting in </w:t>
      </w:r>
      <w:r w:rsidR="009C3FA6">
        <w:rPr>
          <w:rFonts w:ascii="Times New Roman" w:hAnsi="Times New Roman" w:cs="Times New Roman"/>
          <w:sz w:val="24"/>
          <w:szCs w:val="24"/>
        </w:rPr>
        <w:t xml:space="preserve">increased enrollment: online </w:t>
      </w:r>
      <w:r w:rsidR="00641D56" w:rsidRPr="0067037B">
        <w:rPr>
          <w:rFonts w:ascii="Times New Roman" w:hAnsi="Times New Roman" w:cs="Times New Roman"/>
          <w:sz w:val="24"/>
          <w:szCs w:val="24"/>
        </w:rPr>
        <w:t>enrollmen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9C3F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C3FA6">
        <w:rPr>
          <w:rFonts w:ascii="Times New Roman" w:hAnsi="Times New Roman" w:cs="Times New Roman"/>
          <w:sz w:val="24"/>
          <w:szCs w:val="24"/>
        </w:rPr>
        <w:t>percentage) from 19% in 2011/12 to 30% in 2016/17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FA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dual e</w:t>
      </w:r>
      <w:r w:rsidR="00641D56" w:rsidRPr="0067037B">
        <w:rPr>
          <w:rFonts w:ascii="Times New Roman" w:hAnsi="Times New Roman" w:cs="Times New Roman"/>
          <w:sz w:val="24"/>
          <w:szCs w:val="24"/>
        </w:rPr>
        <w:t>nrollment</w:t>
      </w:r>
      <w:r w:rsidR="009C3FA6">
        <w:rPr>
          <w:rFonts w:ascii="Times New Roman" w:hAnsi="Times New Roman" w:cs="Times New Roman"/>
          <w:sz w:val="24"/>
          <w:szCs w:val="24"/>
        </w:rPr>
        <w:t xml:space="preserve"> (in number) from 250 in Fall 2015 to 1,709 in Fall 2018.  Meanwhile, the number of </w:t>
      </w:r>
      <w:r w:rsidR="00641D56" w:rsidRPr="0067037B">
        <w:rPr>
          <w:rFonts w:ascii="Times New Roman" w:hAnsi="Times New Roman" w:cs="Times New Roman"/>
          <w:sz w:val="24"/>
          <w:szCs w:val="24"/>
        </w:rPr>
        <w:t xml:space="preserve">Career Development and College Preparation (CDCP) </w:t>
      </w:r>
      <w:r w:rsidR="009C3FA6">
        <w:rPr>
          <w:rFonts w:ascii="Times New Roman" w:hAnsi="Times New Roman" w:cs="Times New Roman"/>
          <w:sz w:val="24"/>
          <w:szCs w:val="24"/>
        </w:rPr>
        <w:t xml:space="preserve">certificate has grown from 0 in 2014 to 11 in the fall of 2018, with an additional 18 CDCP certificates in the approval process locally and at the State.  </w:t>
      </w:r>
      <w:r w:rsidR="00641D56" w:rsidRPr="006703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C99A771" w14:textId="77777777" w:rsidR="0061749D" w:rsidRDefault="0061749D" w:rsidP="71765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18D88" w14:textId="174E40CD" w:rsidR="00E760EE" w:rsidRDefault="7176597F" w:rsidP="71765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7176597F">
        <w:rPr>
          <w:rFonts w:ascii="Times New Roman" w:hAnsi="Times New Roman" w:cs="Times New Roman"/>
          <w:sz w:val="24"/>
          <w:szCs w:val="24"/>
        </w:rPr>
        <w:t>The ultimate goal of th</w:t>
      </w:r>
      <w:r w:rsidR="00641D56">
        <w:rPr>
          <w:rFonts w:ascii="Times New Roman" w:hAnsi="Times New Roman" w:cs="Times New Roman"/>
          <w:sz w:val="24"/>
          <w:szCs w:val="24"/>
        </w:rPr>
        <w:t xml:space="preserve">is districtwide </w:t>
      </w:r>
      <w:r w:rsidR="003272A2">
        <w:rPr>
          <w:rFonts w:ascii="Times New Roman" w:hAnsi="Times New Roman" w:cs="Times New Roman"/>
          <w:sz w:val="24"/>
          <w:szCs w:val="24"/>
        </w:rPr>
        <w:t>Integrated</w:t>
      </w:r>
      <w:r w:rsidR="00641D56">
        <w:rPr>
          <w:rFonts w:ascii="Times New Roman" w:hAnsi="Times New Roman" w:cs="Times New Roman"/>
          <w:sz w:val="24"/>
          <w:szCs w:val="24"/>
        </w:rPr>
        <w:t xml:space="preserve"> Financial P</w:t>
      </w:r>
      <w:r w:rsidRPr="7176597F">
        <w:rPr>
          <w:rFonts w:ascii="Times New Roman" w:hAnsi="Times New Roman" w:cs="Times New Roman"/>
          <w:sz w:val="24"/>
          <w:szCs w:val="24"/>
        </w:rPr>
        <w:t>lan is three-fold:</w:t>
      </w:r>
    </w:p>
    <w:p w14:paraId="18EB13DE" w14:textId="77777777" w:rsidR="00E760EE" w:rsidRDefault="00E760EE" w:rsidP="00EB0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3D829" w14:textId="2FAAD737" w:rsidR="00A57F34" w:rsidRDefault="00BF36CA" w:rsidP="002D42DC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increas</w:t>
      </w:r>
      <w:r w:rsidR="00E760E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revenue </w:t>
      </w:r>
      <w:r w:rsidR="00E760EE">
        <w:rPr>
          <w:rFonts w:ascii="Times New Roman" w:hAnsi="Times New Roman" w:cs="Times New Roman"/>
          <w:sz w:val="24"/>
          <w:szCs w:val="24"/>
        </w:rPr>
        <w:t xml:space="preserve">– PCCD plans to increase </w:t>
      </w:r>
      <w:r w:rsidR="006A7BD2">
        <w:rPr>
          <w:rFonts w:ascii="Times New Roman" w:hAnsi="Times New Roman" w:cs="Times New Roman"/>
          <w:sz w:val="24"/>
          <w:szCs w:val="24"/>
        </w:rPr>
        <w:t xml:space="preserve">its revenue from </w:t>
      </w:r>
      <w:r w:rsidR="00E760EE">
        <w:rPr>
          <w:rFonts w:ascii="Times New Roman" w:hAnsi="Times New Roman" w:cs="Times New Roman"/>
          <w:sz w:val="24"/>
          <w:szCs w:val="24"/>
        </w:rPr>
        <w:t xml:space="preserve">the State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A57F34">
        <w:rPr>
          <w:rFonts w:ascii="Times New Roman" w:hAnsi="Times New Roman" w:cs="Times New Roman"/>
          <w:sz w:val="24"/>
          <w:szCs w:val="24"/>
        </w:rPr>
        <w:t>:</w:t>
      </w:r>
    </w:p>
    <w:p w14:paraId="7E8CF449" w14:textId="77777777" w:rsidR="00A57F34" w:rsidRPr="00A57F34" w:rsidRDefault="00BF36CA" w:rsidP="00A57F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 xml:space="preserve">establishing realistic FTES targets, </w:t>
      </w:r>
    </w:p>
    <w:p w14:paraId="75CC5719" w14:textId="77777777" w:rsidR="00A57F34" w:rsidRPr="00A57F34" w:rsidRDefault="00BF36CA" w:rsidP="00A57F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>updating, upgrading</w:t>
      </w:r>
      <w:r w:rsidR="00B66A84" w:rsidRPr="00A57F34">
        <w:rPr>
          <w:rFonts w:ascii="Times New Roman" w:hAnsi="Times New Roman" w:cs="Times New Roman"/>
          <w:sz w:val="24"/>
          <w:szCs w:val="24"/>
        </w:rPr>
        <w:t>,</w:t>
      </w:r>
      <w:r w:rsidRPr="00A57F34">
        <w:rPr>
          <w:rFonts w:ascii="Times New Roman" w:hAnsi="Times New Roman" w:cs="Times New Roman"/>
          <w:sz w:val="24"/>
          <w:szCs w:val="24"/>
        </w:rPr>
        <w:t xml:space="preserve"> and implementing Enrollment Management Plans at both </w:t>
      </w:r>
      <w:r w:rsidR="00E760EE" w:rsidRPr="00A57F34">
        <w:rPr>
          <w:rFonts w:ascii="Times New Roman" w:hAnsi="Times New Roman" w:cs="Times New Roman"/>
          <w:sz w:val="24"/>
          <w:szCs w:val="24"/>
        </w:rPr>
        <w:t>the</w:t>
      </w:r>
      <w:r w:rsidR="005203D1" w:rsidRPr="00A57F34">
        <w:rPr>
          <w:rFonts w:ascii="Times New Roman" w:hAnsi="Times New Roman" w:cs="Times New Roman"/>
          <w:sz w:val="24"/>
          <w:szCs w:val="24"/>
        </w:rPr>
        <w:t xml:space="preserve"> district</w:t>
      </w:r>
      <w:r w:rsidR="00E760EE"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sz w:val="24"/>
          <w:szCs w:val="24"/>
        </w:rPr>
        <w:t xml:space="preserve">and </w:t>
      </w:r>
      <w:r w:rsidR="005203D1" w:rsidRPr="00A57F34">
        <w:rPr>
          <w:rFonts w:ascii="Times New Roman" w:hAnsi="Times New Roman" w:cs="Times New Roman"/>
          <w:sz w:val="24"/>
          <w:szCs w:val="24"/>
        </w:rPr>
        <w:t xml:space="preserve">the </w:t>
      </w:r>
      <w:r w:rsidRPr="00A57F34">
        <w:rPr>
          <w:rFonts w:ascii="Times New Roman" w:hAnsi="Times New Roman" w:cs="Times New Roman"/>
          <w:sz w:val="24"/>
          <w:szCs w:val="24"/>
        </w:rPr>
        <w:t xml:space="preserve">college levels, and </w:t>
      </w:r>
    </w:p>
    <w:p w14:paraId="436C7552" w14:textId="470CE9F1" w:rsidR="00393780" w:rsidRPr="00A57F34" w:rsidRDefault="00BF36CA" w:rsidP="00A57F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E27100">
        <w:rPr>
          <w:rFonts w:ascii="Times New Roman" w:hAnsi="Times New Roman" w:cs="Times New Roman"/>
          <w:sz w:val="24"/>
          <w:szCs w:val="24"/>
        </w:rPr>
        <w:t xml:space="preserve">and implementing </w:t>
      </w:r>
      <w:r w:rsidRPr="00A57F34">
        <w:rPr>
          <w:rFonts w:ascii="Times New Roman" w:hAnsi="Times New Roman" w:cs="Times New Roman"/>
          <w:sz w:val="24"/>
          <w:szCs w:val="24"/>
        </w:rPr>
        <w:t xml:space="preserve">a Student Success Infrastructure Plan in order to </w:t>
      </w:r>
      <w:r w:rsidR="00E760EE" w:rsidRPr="00A57F34">
        <w:rPr>
          <w:rFonts w:ascii="Times New Roman" w:hAnsi="Times New Roman" w:cs="Times New Roman"/>
          <w:sz w:val="24"/>
          <w:szCs w:val="24"/>
        </w:rPr>
        <w:t>earn the highest possible amount of r</w:t>
      </w:r>
      <w:r w:rsidR="00641D56">
        <w:rPr>
          <w:rFonts w:ascii="Times New Roman" w:hAnsi="Times New Roman" w:cs="Times New Roman"/>
          <w:sz w:val="24"/>
          <w:szCs w:val="24"/>
        </w:rPr>
        <w:t>evenues through the new SCFF</w:t>
      </w:r>
      <w:r w:rsidR="00E760EE" w:rsidRPr="00A57F3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713B82" w14:textId="3904C4F7" w:rsidR="00E760EE" w:rsidRDefault="00E760EE" w:rsidP="002D42DC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29194ACB" w14:textId="20E1EFB2" w:rsidR="00A57F34" w:rsidRDefault="7176597F" w:rsidP="7176597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7176597F">
        <w:rPr>
          <w:rFonts w:ascii="Times New Roman" w:hAnsi="Times New Roman" w:cs="Times New Roman"/>
          <w:sz w:val="24"/>
          <w:szCs w:val="24"/>
        </w:rPr>
        <w:t>Second, reducing unnecessary operational expenditures – with the goal to trim down the expenditures</w:t>
      </w:r>
      <w:r w:rsidRPr="00844338">
        <w:rPr>
          <w:rFonts w:ascii="Times New Roman" w:hAnsi="Times New Roman" w:cs="Times New Roman"/>
          <w:sz w:val="24"/>
          <w:szCs w:val="24"/>
        </w:rPr>
        <w:t>, the District</w:t>
      </w:r>
      <w:r w:rsidR="00A57F34">
        <w:rPr>
          <w:rFonts w:ascii="Times New Roman" w:hAnsi="Times New Roman" w:cs="Times New Roman"/>
          <w:sz w:val="24"/>
          <w:szCs w:val="24"/>
        </w:rPr>
        <w:t xml:space="preserve"> has:</w:t>
      </w:r>
    </w:p>
    <w:p w14:paraId="2D0AAC7D" w14:textId="64560B0F" w:rsidR="00A57F34" w:rsidRPr="00A57F34" w:rsidRDefault="7176597F" w:rsidP="00A57F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>just developed a new Board Policy to increase the reserve ratio from the previous 5% to 10%</w:t>
      </w:r>
      <w:r w:rsidR="003272A2">
        <w:rPr>
          <w:rFonts w:ascii="Times New Roman" w:hAnsi="Times New Roman" w:cs="Times New Roman"/>
          <w:sz w:val="24"/>
          <w:szCs w:val="24"/>
        </w:rPr>
        <w:t>,</w:t>
      </w:r>
      <w:r w:rsidR="00A57F34"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="00844338" w:rsidRPr="00A5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F0BF1" w14:textId="62225411" w:rsidR="00A57F34" w:rsidRPr="00A57F34" w:rsidRDefault="7176597F" w:rsidP="00A57F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 xml:space="preserve">established strategies to improve </w:t>
      </w:r>
      <w:r w:rsidR="00844338" w:rsidRPr="00A57F34">
        <w:rPr>
          <w:rFonts w:ascii="Times New Roman" w:hAnsi="Times New Roman" w:cs="Times New Roman"/>
          <w:sz w:val="24"/>
          <w:szCs w:val="24"/>
        </w:rPr>
        <w:t>t</w:t>
      </w:r>
      <w:r w:rsidR="00641D56">
        <w:rPr>
          <w:rFonts w:ascii="Times New Roman" w:hAnsi="Times New Roman" w:cs="Times New Roman"/>
          <w:sz w:val="24"/>
          <w:szCs w:val="24"/>
        </w:rPr>
        <w:t>he management of its</w:t>
      </w:r>
      <w:r w:rsidR="00070BD4">
        <w:rPr>
          <w:rFonts w:ascii="Times New Roman" w:hAnsi="Times New Roman" w:cs="Times New Roman"/>
          <w:sz w:val="24"/>
          <w:szCs w:val="24"/>
        </w:rPr>
        <w:t xml:space="preserve"> OPEB debt</w:t>
      </w:r>
      <w:r w:rsidRPr="00A57F34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0705104D" w14:textId="621D1DD9" w:rsidR="00E760EE" w:rsidRPr="00A57F34" w:rsidRDefault="7176597F" w:rsidP="00A57F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F34">
        <w:rPr>
          <w:rFonts w:ascii="Times New Roman" w:hAnsi="Times New Roman" w:cs="Times New Roman"/>
          <w:sz w:val="24"/>
          <w:szCs w:val="24"/>
        </w:rPr>
        <w:t>established guidelines to reduce operational overspending and to eliminate the structural deficit.</w:t>
      </w:r>
    </w:p>
    <w:p w14:paraId="0B54C3B8" w14:textId="4DE52F3A" w:rsidR="00917992" w:rsidRDefault="00917992" w:rsidP="002D42DC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4C9B1C6F" w14:textId="1587C78D" w:rsidR="00A57F34" w:rsidRDefault="00917992" w:rsidP="002D42DC">
      <w:pPr>
        <w:spacing w:after="0"/>
        <w:ind w:left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</w:t>
      </w:r>
      <w:r w:rsidR="00FA5B94">
        <w:rPr>
          <w:rFonts w:ascii="Times New Roman" w:hAnsi="Times New Roman" w:cs="Times New Roman"/>
          <w:sz w:val="24"/>
          <w:szCs w:val="24"/>
        </w:rPr>
        <w:t>applying</w:t>
      </w:r>
      <w:r w:rsidR="00445B29">
        <w:rPr>
          <w:rFonts w:ascii="Times New Roman" w:hAnsi="Times New Roman" w:cs="Times New Roman"/>
          <w:sz w:val="24"/>
          <w:szCs w:val="24"/>
        </w:rPr>
        <w:t xml:space="preserve"> sound </w:t>
      </w:r>
      <w:r w:rsidR="00FA5B94">
        <w:rPr>
          <w:rFonts w:ascii="Times New Roman" w:hAnsi="Times New Roman" w:cs="Times New Roman"/>
          <w:sz w:val="24"/>
          <w:szCs w:val="24"/>
        </w:rPr>
        <w:t xml:space="preserve">financial management and administration - </w:t>
      </w:r>
      <w:r w:rsidR="005203D1" w:rsidRPr="7176597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92C38" w:rsidRPr="7176597F">
        <w:rPr>
          <w:rFonts w:ascii="Times New Roman" w:hAnsi="Times New Roman" w:cs="Times New Roman"/>
          <w:spacing w:val="-1"/>
          <w:sz w:val="24"/>
          <w:szCs w:val="24"/>
        </w:rPr>
        <w:t xml:space="preserve">he District will </w:t>
      </w:r>
    </w:p>
    <w:p w14:paraId="28BBFB89" w14:textId="27679936" w:rsidR="00A57F34" w:rsidRPr="00A57F34" w:rsidRDefault="00192C38" w:rsidP="00A57F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A57F34">
        <w:rPr>
          <w:rFonts w:ascii="Times New Roman" w:hAnsi="Times New Roman" w:cs="Times New Roman"/>
          <w:spacing w:val="-1"/>
          <w:sz w:val="24"/>
          <w:szCs w:val="24"/>
        </w:rPr>
        <w:t>continue to</w:t>
      </w:r>
      <w:r w:rsidR="00A57F34"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>practice</w:t>
      </w:r>
      <w:r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>oversight</w:t>
      </w:r>
      <w:r w:rsidRPr="00A57F34">
        <w:rPr>
          <w:rFonts w:ascii="Times New Roman" w:hAnsi="Times New Roman" w:cs="Times New Roman"/>
          <w:sz w:val="24"/>
          <w:szCs w:val="24"/>
        </w:rPr>
        <w:t xml:space="preserve">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A57F34">
        <w:rPr>
          <w:rFonts w:ascii="Times New Roman" w:hAnsi="Times New Roman" w:cs="Times New Roman"/>
          <w:spacing w:val="-2"/>
          <w:sz w:val="24"/>
          <w:szCs w:val="24"/>
        </w:rPr>
        <w:t xml:space="preserve"> its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>finances</w:t>
      </w:r>
      <w:r w:rsidR="00844338" w:rsidRPr="00A57F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="00E418F1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its internal control system by adopting a restructuring plan to improve efficiencies and accountability at the District Office as well as</w:t>
      </w:r>
      <w:r w:rsidR="003272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7100">
        <w:rPr>
          <w:rFonts w:ascii="Times New Roman" w:hAnsi="Times New Roman" w:cs="Times New Roman"/>
          <w:spacing w:val="-1"/>
          <w:sz w:val="24"/>
          <w:szCs w:val="24"/>
        </w:rPr>
        <w:t xml:space="preserve">at 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the four </w:t>
      </w:r>
      <w:r w:rsidR="003272A2">
        <w:rPr>
          <w:rFonts w:ascii="Times New Roman" w:hAnsi="Times New Roman" w:cs="Times New Roman"/>
          <w:spacing w:val="-1"/>
          <w:sz w:val="24"/>
          <w:szCs w:val="24"/>
        </w:rPr>
        <w:t>colleges</w:t>
      </w:r>
      <w:r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14:paraId="09DC6728" w14:textId="77777777" w:rsidR="00A57F34" w:rsidRPr="00A57F34" w:rsidRDefault="00A57F34" w:rsidP="00A57F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A57F34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="00192C38"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all audit findings, and </w:t>
      </w:r>
    </w:p>
    <w:p w14:paraId="5771D441" w14:textId="577DFC37" w:rsidR="00192C38" w:rsidRDefault="00A57F34" w:rsidP="00A57F34">
      <w:pPr>
        <w:pStyle w:val="ListParagraph"/>
        <w:numPr>
          <w:ilvl w:val="0"/>
          <w:numId w:val="3"/>
        </w:numPr>
        <w:spacing w:after="0"/>
      </w:pPr>
      <w:r w:rsidRPr="00A57F34">
        <w:rPr>
          <w:rFonts w:ascii="Times New Roman" w:hAnsi="Times New Roman" w:cs="Times New Roman"/>
          <w:spacing w:val="-1"/>
          <w:sz w:val="24"/>
          <w:szCs w:val="24"/>
        </w:rPr>
        <w:t>develop</w:t>
      </w:r>
      <w:r w:rsidR="00192C38"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a plan to retain executive level administrators so that they may exercise their leadership</w:t>
      </w:r>
      <w:r w:rsidR="00B66A84" w:rsidRPr="00A57F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92C38" w:rsidRPr="00A57F34">
        <w:rPr>
          <w:rFonts w:ascii="Times New Roman" w:hAnsi="Times New Roman" w:cs="Times New Roman"/>
          <w:spacing w:val="-1"/>
          <w:sz w:val="24"/>
          <w:szCs w:val="24"/>
        </w:rPr>
        <w:t xml:space="preserve"> with little disruptions. </w:t>
      </w:r>
    </w:p>
    <w:p w14:paraId="6C51A58D" w14:textId="44E8A9EA" w:rsidR="00917992" w:rsidRDefault="00917992" w:rsidP="00EB0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B49DB" w14:textId="3F62E15A" w:rsidR="00192C38" w:rsidRPr="005B406A" w:rsidRDefault="00345590" w:rsidP="00EB0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Based upon this </w:t>
      </w:r>
      <w:r w:rsidR="003272A2">
        <w:rPr>
          <w:rFonts w:ascii="Times New Roman" w:hAnsi="Times New Roman" w:cs="Times New Roman"/>
          <w:sz w:val="24"/>
          <w:szCs w:val="24"/>
        </w:rPr>
        <w:t>Integrated</w:t>
      </w:r>
      <w:r w:rsidR="00641D56">
        <w:rPr>
          <w:rFonts w:ascii="Times New Roman" w:hAnsi="Times New Roman" w:cs="Times New Roman"/>
          <w:sz w:val="24"/>
          <w:szCs w:val="24"/>
        </w:rPr>
        <w:t xml:space="preserve"> Financial Plan that contains </w:t>
      </w:r>
      <w:r>
        <w:rPr>
          <w:rFonts w:ascii="Times New Roman" w:hAnsi="Times New Roman" w:cs="Times New Roman"/>
          <w:sz w:val="24"/>
          <w:szCs w:val="24"/>
        </w:rPr>
        <w:t xml:space="preserve">proactive actions designed to </w:t>
      </w:r>
      <w:r w:rsidR="00641D56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financial challenges, </w:t>
      </w:r>
      <w:r w:rsidR="007909DA">
        <w:rPr>
          <w:rFonts w:ascii="Times New Roman" w:hAnsi="Times New Roman" w:cs="Times New Roman"/>
          <w:sz w:val="24"/>
          <w:szCs w:val="24"/>
        </w:rPr>
        <w:t>PCCD will</w:t>
      </w:r>
      <w:r>
        <w:rPr>
          <w:rFonts w:ascii="Times New Roman" w:hAnsi="Times New Roman" w:cs="Times New Roman"/>
          <w:sz w:val="24"/>
          <w:szCs w:val="24"/>
        </w:rPr>
        <w:t xml:space="preserve"> facilitate its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decision-making regarding how it could further accomplish its Mission through personnel management, budgeting obligated expenses, and maintaining positive cash flow, in order to </w:t>
      </w:r>
      <w:r w:rsidR="00641D56">
        <w:rPr>
          <w:rFonts w:ascii="Times New Roman" w:eastAsia="Times New Roman" w:hAnsi="Times New Roman" w:cs="Times New Roman"/>
          <w:bCs/>
          <w:sz w:val="24"/>
          <w:szCs w:val="24"/>
        </w:rPr>
        <w:t>accomplish its Efficacy</w:t>
      </w:r>
      <w:r w:rsidR="002D42D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Student Success. </w:t>
      </w:r>
    </w:p>
    <w:sectPr w:rsidR="00192C38" w:rsidRPr="005B40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C33A" w14:textId="77777777" w:rsidR="001F0210" w:rsidRDefault="001F0210" w:rsidP="006B4878">
      <w:pPr>
        <w:spacing w:after="0" w:line="240" w:lineRule="auto"/>
      </w:pPr>
      <w:r>
        <w:separator/>
      </w:r>
    </w:p>
  </w:endnote>
  <w:endnote w:type="continuationSeparator" w:id="0">
    <w:p w14:paraId="00EDDF83" w14:textId="77777777" w:rsidR="001F0210" w:rsidRDefault="001F0210" w:rsidP="006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22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79F93" w14:textId="19D1FA47" w:rsidR="00641D56" w:rsidRDefault="00641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DB75C" w14:textId="77777777" w:rsidR="00641D56" w:rsidRDefault="0064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F2AA" w14:textId="77777777" w:rsidR="001F0210" w:rsidRDefault="001F0210" w:rsidP="006B4878">
      <w:pPr>
        <w:spacing w:after="0" w:line="240" w:lineRule="auto"/>
      </w:pPr>
      <w:r>
        <w:separator/>
      </w:r>
    </w:p>
  </w:footnote>
  <w:footnote w:type="continuationSeparator" w:id="0">
    <w:p w14:paraId="7FCF5FA4" w14:textId="77777777" w:rsidR="001F0210" w:rsidRDefault="001F0210" w:rsidP="006B4878">
      <w:pPr>
        <w:spacing w:after="0" w:line="240" w:lineRule="auto"/>
      </w:pPr>
      <w:r>
        <w:continuationSeparator/>
      </w:r>
    </w:p>
  </w:footnote>
  <w:footnote w:id="1">
    <w:p w14:paraId="722CA585" w14:textId="7DE9F0E9" w:rsidR="006B4878" w:rsidRPr="006B4878" w:rsidRDefault="006B4878" w:rsidP="006B4878">
      <w:pPr>
        <w:spacing w:after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C69A3">
        <w:rPr>
          <w:rFonts w:ascii="Times New Roman" w:hAnsi="Times New Roman" w:cs="Times New Roman"/>
          <w:sz w:val="20"/>
          <w:szCs w:val="20"/>
        </w:rPr>
        <w:t>The noncredit FTES would be funded at current rates, while all rates are calculated to provide a three-year transition.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14:paraId="76BCDFE5" w14:textId="5B3B98E1" w:rsidR="006B4878" w:rsidRPr="006B4878" w:rsidRDefault="006B4878">
      <w:pPr>
        <w:pStyle w:val="FootnoteText"/>
        <w:rPr>
          <w:rFonts w:ascii="Times New Roman" w:hAnsi="Times New Roman" w:cs="Times New Roman"/>
        </w:rPr>
      </w:pPr>
      <w:r w:rsidRPr="006B4878">
        <w:rPr>
          <w:rStyle w:val="FootnoteReference"/>
          <w:rFonts w:ascii="Times New Roman" w:hAnsi="Times New Roman" w:cs="Times New Roman"/>
        </w:rPr>
        <w:footnoteRef/>
      </w:r>
      <w:r w:rsidRPr="006B4878">
        <w:rPr>
          <w:rFonts w:ascii="Times New Roman" w:hAnsi="Times New Roman" w:cs="Times New Roman"/>
        </w:rPr>
        <w:t xml:space="preserve"> Major </w:t>
      </w:r>
      <w:r w:rsidR="0061749D">
        <w:rPr>
          <w:rFonts w:ascii="Times New Roman" w:hAnsi="Times New Roman" w:cs="Times New Roman"/>
        </w:rPr>
        <w:t>College</w:t>
      </w:r>
      <w:r w:rsidRPr="006B4878">
        <w:rPr>
          <w:rFonts w:ascii="Times New Roman" w:hAnsi="Times New Roman" w:cs="Times New Roman"/>
        </w:rPr>
        <w:t>–level Success Accountability Indicators include: increased degree/certification completion, increased number of transfers, shortened student time to completion, increased CTE student job placement, and reduced equity gap</w:t>
      </w:r>
      <w:r w:rsidR="003272A2">
        <w:rPr>
          <w:rFonts w:ascii="Times New Roman" w:hAnsi="Times New Roman" w:cs="Times New Roman"/>
        </w:rPr>
        <w:t>.</w:t>
      </w:r>
      <w:r w:rsidRPr="006B4878">
        <w:rPr>
          <w:rFonts w:ascii="Times New Roman" w:hAnsi="Times New Roman" w:cs="Times New Roman"/>
        </w:rPr>
        <w:t xml:space="preserve"> </w:t>
      </w:r>
    </w:p>
  </w:footnote>
  <w:footnote w:id="3">
    <w:p w14:paraId="35D6E6B6" w14:textId="77777777" w:rsidR="006B4878" w:rsidRPr="00EC69A3" w:rsidRDefault="006B4878" w:rsidP="006B4878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C69A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C69A3">
        <w:rPr>
          <w:rFonts w:ascii="Times New Roman" w:hAnsi="Times New Roman" w:cs="Times New Roman"/>
          <w:sz w:val="20"/>
          <w:szCs w:val="20"/>
        </w:rPr>
        <w:t xml:space="preserve"> *These totals will be adjusted by the changes in the cost-of-living in those years.  The amounts will be calculated based on the numbers of colleges and comprehensive centers consistent with the current formula.</w:t>
      </w:r>
    </w:p>
    <w:p w14:paraId="7634D2AC" w14:textId="6A1D15B0" w:rsidR="006B4878" w:rsidRPr="00EC69A3" w:rsidRDefault="006B4878" w:rsidP="006B4878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C69A3">
        <w:rPr>
          <w:rFonts w:ascii="Times New Roman" w:hAnsi="Times New Roman" w:cs="Times New Roman"/>
          <w:sz w:val="20"/>
          <w:szCs w:val="20"/>
        </w:rPr>
        <w:t>** Revenue Forecast.</w:t>
      </w:r>
    </w:p>
    <w:p w14:paraId="6382FE8D" w14:textId="77777777" w:rsidR="006B4878" w:rsidRDefault="006B4878" w:rsidP="006B487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A28"/>
    <w:multiLevelType w:val="hybridMultilevel"/>
    <w:tmpl w:val="F918AA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0890D41"/>
    <w:multiLevelType w:val="hybridMultilevel"/>
    <w:tmpl w:val="53A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3CDD"/>
    <w:multiLevelType w:val="hybridMultilevel"/>
    <w:tmpl w:val="58566A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6483706"/>
    <w:multiLevelType w:val="hybridMultilevel"/>
    <w:tmpl w:val="2902A2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D1"/>
    <w:rsid w:val="00070BD4"/>
    <w:rsid w:val="00192C38"/>
    <w:rsid w:val="001F0210"/>
    <w:rsid w:val="002D42DC"/>
    <w:rsid w:val="003272A2"/>
    <w:rsid w:val="00345590"/>
    <w:rsid w:val="0038486D"/>
    <w:rsid w:val="00393780"/>
    <w:rsid w:val="003B60F1"/>
    <w:rsid w:val="00445B29"/>
    <w:rsid w:val="00475811"/>
    <w:rsid w:val="004B7CF9"/>
    <w:rsid w:val="00511631"/>
    <w:rsid w:val="005203D1"/>
    <w:rsid w:val="0056786E"/>
    <w:rsid w:val="005A1773"/>
    <w:rsid w:val="005B406A"/>
    <w:rsid w:val="005E043E"/>
    <w:rsid w:val="0061749D"/>
    <w:rsid w:val="00641D56"/>
    <w:rsid w:val="00663B8F"/>
    <w:rsid w:val="006A7BD2"/>
    <w:rsid w:val="006B4878"/>
    <w:rsid w:val="00783992"/>
    <w:rsid w:val="007909DA"/>
    <w:rsid w:val="00844338"/>
    <w:rsid w:val="00851A50"/>
    <w:rsid w:val="00917992"/>
    <w:rsid w:val="00993D52"/>
    <w:rsid w:val="009C3FA6"/>
    <w:rsid w:val="00A57F34"/>
    <w:rsid w:val="00A95C32"/>
    <w:rsid w:val="00B065B1"/>
    <w:rsid w:val="00B66A84"/>
    <w:rsid w:val="00BF36CA"/>
    <w:rsid w:val="00C8388B"/>
    <w:rsid w:val="00CC6BFA"/>
    <w:rsid w:val="00D4780D"/>
    <w:rsid w:val="00E1287D"/>
    <w:rsid w:val="00E27100"/>
    <w:rsid w:val="00E418F1"/>
    <w:rsid w:val="00E760EE"/>
    <w:rsid w:val="00EB06D1"/>
    <w:rsid w:val="00FA5B94"/>
    <w:rsid w:val="717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FCCE"/>
  <w15:chartTrackingRefBased/>
  <w15:docId w15:val="{8A8B9977-2D12-431C-9B1C-0C64EADD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34"/>
    <w:pPr>
      <w:ind w:left="720"/>
      <w:contextualSpacing/>
    </w:pPr>
  </w:style>
  <w:style w:type="table" w:styleId="TableGrid">
    <w:name w:val="Table Grid"/>
    <w:basedOn w:val="TableNormal"/>
    <w:uiPriority w:val="39"/>
    <w:rsid w:val="006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8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8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8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56"/>
  </w:style>
  <w:style w:type="paragraph" w:styleId="Footer">
    <w:name w:val="footer"/>
    <w:basedOn w:val="Normal"/>
    <w:link w:val="FooterChar"/>
    <w:uiPriority w:val="99"/>
    <w:unhideWhenUsed/>
    <w:rsid w:val="006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FinanceFacilities/StudentCenteredFundingFormula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liforniacommunitycolleges.cccco.edu/portals/0/reports/vision-for-suc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CE02-442F-4872-8B02-72419C2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Chen</dc:creator>
  <cp:keywords/>
  <dc:description/>
  <cp:lastModifiedBy>May Chen</cp:lastModifiedBy>
  <cp:revision>2</cp:revision>
  <cp:lastPrinted>2019-03-07T20:13:00Z</cp:lastPrinted>
  <dcterms:created xsi:type="dcterms:W3CDTF">2019-03-08T04:56:00Z</dcterms:created>
  <dcterms:modified xsi:type="dcterms:W3CDTF">2019-03-08T04:56:00Z</dcterms:modified>
</cp:coreProperties>
</file>