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EA31A" wp14:editId="7563E87F">
                <wp:simplePos x="0" y="0"/>
                <wp:positionH relativeFrom="page">
                  <wp:posOffset>2333625</wp:posOffset>
                </wp:positionH>
                <wp:positionV relativeFrom="page">
                  <wp:posOffset>504825</wp:posOffset>
                </wp:positionV>
                <wp:extent cx="5105400" cy="743902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439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E555EB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  <w:b/>
                                <w:sz w:val="36"/>
                                <w:szCs w:val="36"/>
                              </w:rPr>
                              <w:br/>
                              <w:t>AGENDA</w:t>
                            </w:r>
                          </w:p>
                          <w:p w:rsidR="009D444A" w:rsidRPr="00E555EB" w:rsidRDefault="0042634F" w:rsidP="009D444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September 14</w:t>
                            </w:r>
                            <w:r w:rsidR="009D444A" w:rsidRPr="00E555EB">
                              <w:rPr>
                                <w:rFonts w:asciiTheme="majorHAnsi" w:hAnsiTheme="majorHAnsi" w:cs="Arial"/>
                              </w:rPr>
                              <w:t>, 2015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</w:rPr>
                              <w:t>12:15 p.m. - 1:30 p.m.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</w:rPr>
                              <w:t>Room:</w:t>
                            </w:r>
                            <w:r w:rsidRPr="00E555EB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 </w:t>
                            </w:r>
                            <w:r w:rsidRPr="00E555EB">
                              <w:rPr>
                                <w:rFonts w:asciiTheme="majorHAnsi" w:hAnsiTheme="majorHAnsi" w:cs="Arial"/>
                              </w:rPr>
                              <w:t>451A/B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  <w:t xml:space="preserve">Chair:  Dr. </w:t>
                            </w:r>
                            <w:r w:rsidR="00CE7593" w:rsidRPr="00E555E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  <w:t>Debbie Budd</w:t>
                            </w:r>
                          </w:p>
                          <w:p w:rsidR="009D444A" w:rsidRDefault="001E2332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Goals and Accomplishments - Comments from the field….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Responses to 2014-15 - Additions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Updates and suggestions for 2015-16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Plan for constituents identifying activities for 2015-16 to reach our goals and outcomes</w:t>
                            </w: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Budget - Discussion of Adopted Budget – Shirley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Highlights of distribution from last meeting  4000, 5000 and 2000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Highlights from PASS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One-Time Funds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Suggestions for $2.1 Million of undistributed Deferred Maintenance/ Instruct</w:t>
                            </w:r>
                            <w:r w:rsidR="00162193">
                              <w:rPr>
                                <w:rFonts w:asciiTheme="majorHAnsi" w:hAnsiTheme="majorHAnsi"/>
                              </w:rPr>
                              <w:t>ional Equipment funds District-w</w:t>
                            </w:r>
                            <w:r w:rsidRPr="0042634F">
                              <w:rPr>
                                <w:rFonts w:asciiTheme="majorHAnsi" w:hAnsiTheme="majorHAnsi"/>
                              </w:rPr>
                              <w:t>ide</w:t>
                            </w: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2118 Milvia Updates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Timeline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User Group Meetings</w:t>
                            </w: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Equity Highlights</w:t>
                            </w:r>
                          </w:p>
                          <w:p w:rsidR="0042634F" w:rsidRPr="0042634F" w:rsidRDefault="0042634F" w:rsidP="0042634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2634F">
                              <w:rPr>
                                <w:rFonts w:asciiTheme="majorHAnsi" w:hAnsiTheme="majorHAnsi"/>
                              </w:rPr>
                              <w:t>Ed Master Plan, SSSP, Equity, Basic Skills all flow together to reach our Goals of closing the Education/Achievement/Equity Gap</w:t>
                            </w:r>
                          </w:p>
                          <w:p w:rsidR="0042634F" w:rsidRPr="0042634F" w:rsidRDefault="0042634F" w:rsidP="0042634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42634F" w:rsidRDefault="0042634F" w:rsidP="00CE7593">
                            <w:r w:rsidRPr="0042634F">
                              <w:rPr>
                                <w:rFonts w:asciiTheme="majorHAnsi" w:hAnsiTheme="majorHAnsi"/>
                              </w:rPr>
                              <w:t>Other</w:t>
                            </w: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Default="00CE7593" w:rsidP="00CE7593"/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39.75pt;width:402pt;height:5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" o:allowincell="f" filled="f" stroked="f" strokeweight="6pt">
                <v:stroke linestyle="thickThin"/>
                <v:textbox inset="10.8pt,7.2pt,10.8pt,7.2pt">
                  <w:txbxContent>
                    <w:p w:rsidR="009D444A" w:rsidRPr="00E555EB" w:rsidRDefault="009D444A" w:rsidP="009D444A">
                      <w:pPr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E555EB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sz w:val="36"/>
                          <w:szCs w:val="36"/>
                        </w:rPr>
                      </w:pPr>
                      <w:r w:rsidRPr="00E555EB">
                        <w:rPr>
                          <w:rFonts w:asciiTheme="majorHAnsi" w:hAnsiTheme="majorHAnsi" w:cs="Arial"/>
                          <w:b/>
                          <w:sz w:val="36"/>
                          <w:szCs w:val="36"/>
                        </w:rPr>
                        <w:br/>
                        <w:t>AGENDA</w:t>
                      </w:r>
                    </w:p>
                    <w:p w:rsidR="009D444A" w:rsidRPr="00E555EB" w:rsidRDefault="0042634F" w:rsidP="009D444A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September 14</w:t>
                      </w:r>
                      <w:r w:rsidR="009D444A" w:rsidRPr="00E555EB">
                        <w:rPr>
                          <w:rFonts w:asciiTheme="majorHAnsi" w:hAnsiTheme="majorHAnsi" w:cs="Arial"/>
                        </w:rPr>
                        <w:t>, 2015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E555EB">
                        <w:rPr>
                          <w:rFonts w:asciiTheme="majorHAnsi" w:hAnsiTheme="majorHAnsi" w:cs="Arial"/>
                        </w:rPr>
                        <w:t>12:15 p.m. - 1:30 p.m.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i/>
                        </w:rPr>
                      </w:pPr>
                      <w:r w:rsidRPr="00E555EB">
                        <w:rPr>
                          <w:rFonts w:asciiTheme="majorHAnsi" w:hAnsiTheme="majorHAnsi" w:cs="Arial"/>
                        </w:rPr>
                        <w:t>Room:</w:t>
                      </w:r>
                      <w:r w:rsidRPr="00E555EB">
                        <w:rPr>
                          <w:rFonts w:asciiTheme="majorHAnsi" w:hAnsiTheme="majorHAnsi" w:cs="Arial"/>
                          <w:i/>
                        </w:rPr>
                        <w:t xml:space="preserve">  </w:t>
                      </w:r>
                      <w:r w:rsidRPr="00E555EB">
                        <w:rPr>
                          <w:rFonts w:asciiTheme="majorHAnsi" w:hAnsiTheme="majorHAnsi" w:cs="Arial"/>
                        </w:rPr>
                        <w:t>451A/B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</w:pPr>
                      <w:r w:rsidRPr="00E555EB"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  <w:t xml:space="preserve">Chair:  Dr. </w:t>
                      </w:r>
                      <w:r w:rsidR="00CE7593" w:rsidRPr="00E555EB"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  <w:t>Debbie Budd</w:t>
                      </w:r>
                    </w:p>
                    <w:p w:rsidR="009D444A" w:rsidRDefault="001E2332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Goals and Accomplishments - Comments from the field….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Responses to 2014-15 - Additions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Updates and suggestions for 2015-16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Plan for constituents identifying activities for 2015-16 to reach our goals and outcomes</w:t>
                      </w: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Budget - Discussion of Adopted Budget – Shirley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Highlights of distribution from last meeting  4000, 5000 and 2000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Highlights from PASS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One-Time Funds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Suggestions for $2.1 Million of undistributed Deferred Maintenance/ Instruct</w:t>
                      </w:r>
                      <w:r w:rsidR="00162193">
                        <w:rPr>
                          <w:rFonts w:asciiTheme="majorHAnsi" w:hAnsiTheme="majorHAnsi"/>
                        </w:rPr>
                        <w:t>ional Equipment funds District-w</w:t>
                      </w:r>
                      <w:r w:rsidRPr="0042634F">
                        <w:rPr>
                          <w:rFonts w:asciiTheme="majorHAnsi" w:hAnsiTheme="majorHAnsi"/>
                        </w:rPr>
                        <w:t>ide</w:t>
                      </w: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2118 Milvia Updates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Timeline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User Group Meetings</w:t>
                      </w: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Equity Highlights</w:t>
                      </w:r>
                    </w:p>
                    <w:p w:rsidR="0042634F" w:rsidRPr="0042634F" w:rsidRDefault="0042634F" w:rsidP="0042634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</w:rPr>
                      </w:pPr>
                      <w:r w:rsidRPr="0042634F">
                        <w:rPr>
                          <w:rFonts w:asciiTheme="majorHAnsi" w:hAnsiTheme="majorHAnsi"/>
                        </w:rPr>
                        <w:t>Ed Master Plan, SSSP, Equity, Basic Skills all flow together to reach our Goals of closing the Education/Achievement/Equity Gap</w:t>
                      </w:r>
                    </w:p>
                    <w:p w:rsidR="0042634F" w:rsidRPr="0042634F" w:rsidRDefault="0042634F" w:rsidP="0042634F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42634F" w:rsidRDefault="0042634F" w:rsidP="00CE7593">
                      <w:r w:rsidRPr="0042634F">
                        <w:rPr>
                          <w:rFonts w:asciiTheme="majorHAnsi" w:hAnsiTheme="majorHAnsi"/>
                        </w:rPr>
                        <w:t>Other</w:t>
                      </w: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Default="00CE7593" w:rsidP="00CE7593"/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37FE" wp14:editId="38FFB54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32665EAE" wp14:editId="1C4AFF0C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052E36" w:rsidRDefault="00052E36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>Diana Bajrami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052E36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933B00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>r. Joseph Bielanski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8B1E1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  <w:bookmarkStart w:id="0" w:name="_GoBack"/>
      <w:bookmarkEnd w:id="0"/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F40358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  <w:r w:rsidR="00F40358" w:rsidRPr="008B1E1E">
        <w:rPr>
          <w:sz w:val="12"/>
          <w:szCs w:val="12"/>
        </w:rPr>
        <w:t xml:space="preserve"> 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E555EB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E555EB" w:rsidRPr="00E555EB">
        <w:rPr>
          <w:sz w:val="12"/>
          <w:szCs w:val="12"/>
        </w:rPr>
        <w:t xml:space="preserve"> Representative</w:t>
      </w:r>
    </w:p>
    <w:p w:rsidR="006068C7" w:rsidRPr="005A02C1" w:rsidRDefault="00E555EB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516094" w:rsidRPr="00E555EB" w:rsidRDefault="006068C7" w:rsidP="006068C7">
      <w:pPr>
        <w:tabs>
          <w:tab w:val="left" w:pos="1440"/>
        </w:tabs>
        <w:ind w:left="-360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E555EB" w:rsidRPr="00E555EB">
        <w:rPr>
          <w:sz w:val="12"/>
          <w:szCs w:val="12"/>
        </w:rPr>
        <w:t xml:space="preserve"> Representative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32" w:rsidRDefault="001E2332" w:rsidP="009D444A">
      <w:r>
        <w:separator/>
      </w:r>
    </w:p>
  </w:endnote>
  <w:endnote w:type="continuationSeparator" w:id="0">
    <w:p w:rsidR="001E2332" w:rsidRDefault="001E2332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32" w:rsidRDefault="001E2332" w:rsidP="009D444A">
      <w:r>
        <w:separator/>
      </w:r>
    </w:p>
  </w:footnote>
  <w:footnote w:type="continuationSeparator" w:id="0">
    <w:p w:rsidR="001E2332" w:rsidRDefault="001E2332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1263A2"/>
    <w:rsid w:val="00162193"/>
    <w:rsid w:val="001E2332"/>
    <w:rsid w:val="00213E6B"/>
    <w:rsid w:val="002168C6"/>
    <w:rsid w:val="0025545E"/>
    <w:rsid w:val="00255B99"/>
    <w:rsid w:val="00257C54"/>
    <w:rsid w:val="002865EA"/>
    <w:rsid w:val="00360805"/>
    <w:rsid w:val="003B6A62"/>
    <w:rsid w:val="003F2575"/>
    <w:rsid w:val="0042634F"/>
    <w:rsid w:val="00490A0C"/>
    <w:rsid w:val="004B2130"/>
    <w:rsid w:val="004E76BD"/>
    <w:rsid w:val="004F4E6F"/>
    <w:rsid w:val="00516094"/>
    <w:rsid w:val="00567614"/>
    <w:rsid w:val="00567C3D"/>
    <w:rsid w:val="0057243D"/>
    <w:rsid w:val="0057472A"/>
    <w:rsid w:val="00595A20"/>
    <w:rsid w:val="005A02C1"/>
    <w:rsid w:val="005B012F"/>
    <w:rsid w:val="005C5287"/>
    <w:rsid w:val="005D60D7"/>
    <w:rsid w:val="006068C7"/>
    <w:rsid w:val="0065797C"/>
    <w:rsid w:val="006E4F51"/>
    <w:rsid w:val="007339FE"/>
    <w:rsid w:val="007643CD"/>
    <w:rsid w:val="00794A3F"/>
    <w:rsid w:val="007A6CB3"/>
    <w:rsid w:val="007F5171"/>
    <w:rsid w:val="008230A2"/>
    <w:rsid w:val="0083308C"/>
    <w:rsid w:val="00891755"/>
    <w:rsid w:val="008B1E1E"/>
    <w:rsid w:val="00933B00"/>
    <w:rsid w:val="009D444A"/>
    <w:rsid w:val="00B45224"/>
    <w:rsid w:val="00CE7593"/>
    <w:rsid w:val="00DB03E2"/>
    <w:rsid w:val="00E262F5"/>
    <w:rsid w:val="00E34DE9"/>
    <w:rsid w:val="00E37EC4"/>
    <w:rsid w:val="00E555EB"/>
    <w:rsid w:val="00E9071E"/>
    <w:rsid w:val="00EB06F0"/>
    <w:rsid w:val="00EC1F11"/>
    <w:rsid w:val="00EF704F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3</cp:revision>
  <cp:lastPrinted>2015-04-24T23:11:00Z</cp:lastPrinted>
  <dcterms:created xsi:type="dcterms:W3CDTF">2015-09-11T18:42:00Z</dcterms:created>
  <dcterms:modified xsi:type="dcterms:W3CDTF">2015-09-11T20:29:00Z</dcterms:modified>
</cp:coreProperties>
</file>