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proofErr w:type="gramStart"/>
            <w:r w:rsidRPr="00EC7286">
              <w:rPr>
                <w:rFonts w:ascii="Helvetica Neue" w:hAnsi="Helvetica Neue"/>
                <w:b/>
                <w:bCs/>
                <w:color w:val="FFFFFF" w:themeColor="background1"/>
                <w:sz w:val="24"/>
                <w:szCs w:val="24"/>
              </w:rPr>
              <w:t>educational</w:t>
            </w:r>
            <w:proofErr w:type="gramEnd"/>
            <w:r w:rsidRPr="00EC7286">
              <w:rPr>
                <w:rFonts w:ascii="Helvetica Neue" w:hAnsi="Helvetica Neue"/>
                <w:b/>
                <w:bCs/>
                <w:color w:val="FFFFFF" w:themeColor="background1"/>
                <w:sz w:val="24"/>
                <w:szCs w:val="24"/>
              </w:rPr>
              <w:t xml:space="preserve">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w:t>
      </w:r>
      <w:proofErr w:type="gramStart"/>
      <w:r w:rsidR="00502DDD" w:rsidRPr="00211807">
        <w:rPr>
          <w:rFonts w:ascii="Helvetica Neue" w:hAnsi="Helvetica Neue"/>
          <w:sz w:val="21"/>
          <w:szCs w:val="21"/>
        </w:rPr>
        <w:t>community</w:t>
      </w:r>
      <w:proofErr w:type="gramEnd"/>
      <w:r w:rsidR="00502DDD" w:rsidRPr="00211807">
        <w:rPr>
          <w:rFonts w:ascii="Helvetica Neue" w:hAnsi="Helvetica Neue"/>
          <w:sz w:val="21"/>
          <w:szCs w:val="21"/>
        </w:rPr>
        <w:t xml:space="preserve">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w:t>
      </w:r>
      <w:r w:rsidRPr="3BDEE636">
        <w:rPr>
          <w:rFonts w:ascii="Helvetica Neue" w:hAnsi="Helvetica Neue"/>
          <w:sz w:val="21"/>
          <w:szCs w:val="21"/>
        </w:rPr>
        <w:lastRenderedPageBreak/>
        <w:t xml:space="preserve">services, and department to request resources that support achieving the stated goals.  </w:t>
      </w:r>
    </w:p>
    <w:p w14:paraId="00EF53B5" w14:textId="43446590"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your Manager</w:t>
      </w:r>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CB70A4"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CB70A4">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CB70A4">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CB70A4">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CB70A4">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CB70A4">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CB70A4">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CB70A4">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CB70A4">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CB70A4">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CB70A4">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w:t>
        </w:r>
        <w:r w:rsidRPr="00622BBB">
          <w:rPr>
            <w:rStyle w:val="Hyperlink"/>
            <w:rFonts w:ascii="Helvetica Neue" w:hAnsi="Helvetica Neue"/>
            <w:b/>
            <w:bCs/>
          </w:rPr>
          <w:t>k</w:t>
        </w:r>
        <w:r w:rsidRPr="00622BBB">
          <w:rPr>
            <w:rStyle w:val="Hyperlink"/>
            <w:rFonts w:ascii="Helvetica Neue" w:hAnsi="Helvetica Neue"/>
            <w:b/>
            <w:bCs/>
          </w:rPr>
          <w:t xml:space="preserve">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 xml:space="preserve">click </w:t>
        </w:r>
        <w:r w:rsidRPr="00622BBB">
          <w:rPr>
            <w:rStyle w:val="Hyperlink"/>
            <w:rFonts w:ascii="Helvetica Neue" w:hAnsi="Helvetica Neue"/>
            <w:b/>
            <w:bCs/>
          </w:rPr>
          <w:t>h</w:t>
        </w:r>
        <w:r w:rsidRPr="00622BBB">
          <w:rPr>
            <w:rStyle w:val="Hyperlink"/>
            <w:rFonts w:ascii="Helvetica Neue" w:hAnsi="Helvetica Neue"/>
            <w:b/>
            <w:bCs/>
          </w:rPr>
          <w:t>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1F0F67">
        <w:tc>
          <w:tcPr>
            <w:tcW w:w="9926" w:type="dxa"/>
            <w:gridSpan w:val="3"/>
            <w:tcBorders>
              <w:bottom w:val="single" w:sz="4" w:space="0" w:color="auto"/>
            </w:tcBorders>
            <w:shd w:val="clear" w:color="auto" w:fill="auto"/>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1F0F67">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1F0F67">
        <w:trPr>
          <w:trHeight w:val="206"/>
        </w:trPr>
        <w:tc>
          <w:tcPr>
            <w:tcW w:w="4963" w:type="dxa"/>
            <w:shd w:val="clear" w:color="auto" w:fill="auto"/>
            <w:vAlign w:val="bottom"/>
          </w:tcPr>
          <w:p w14:paraId="3556AAD5" w14:textId="7D11F956" w:rsidR="00AC3850" w:rsidRPr="00CC0632" w:rsidRDefault="00AC3850" w:rsidP="001409AD">
            <w:pPr>
              <w:pStyle w:val="NoSpacing"/>
              <w:rPr>
                <w:rFonts w:ascii="Helvetica Neue" w:hAnsi="Helvetica Neue"/>
              </w:rPr>
            </w:pPr>
          </w:p>
          <w:p w14:paraId="0C4DDCDE" w14:textId="4D800284" w:rsidR="00AC3850" w:rsidRPr="00BF4F9D" w:rsidRDefault="00CC0632" w:rsidP="00BF4F9D">
            <w:pPr>
              <w:pStyle w:val="NoSpacing"/>
              <w:ind w:left="46"/>
              <w:rPr>
                <w:rFonts w:ascii="Helvetica Neue" w:hAnsi="Helvetica Neue"/>
                <w:color w:val="FFFFFF" w:themeColor="background1"/>
              </w:rPr>
            </w:pPr>
            <w:r w:rsidRPr="00CC0632">
              <w:rPr>
                <w:rFonts w:ascii="Helvetica Neue" w:hAnsi="Helvetica Neue"/>
              </w:rPr>
              <w:t>Andrea Williams</w:t>
            </w:r>
          </w:p>
        </w:tc>
        <w:tc>
          <w:tcPr>
            <w:tcW w:w="2862" w:type="dxa"/>
            <w:shd w:val="clear" w:color="auto" w:fill="auto"/>
            <w:vAlign w:val="bottom"/>
          </w:tcPr>
          <w:p w14:paraId="221EEE64" w14:textId="59B4293B" w:rsidR="00AC3850" w:rsidRPr="00CC0632" w:rsidRDefault="00CC0632" w:rsidP="00BF4F9D">
            <w:pPr>
              <w:pStyle w:val="NoSpacing"/>
              <w:ind w:left="46"/>
              <w:rPr>
                <w:rFonts w:ascii="Helvetica Neue" w:hAnsi="Helvetica Neue"/>
              </w:rPr>
            </w:pPr>
            <w:r w:rsidRPr="00CC0632">
              <w:rPr>
                <w:rFonts w:ascii="Helvetica Neue" w:hAnsi="Helvetica Neue"/>
              </w:rPr>
              <w:t>Career/Transfer Center</w:t>
            </w:r>
          </w:p>
        </w:tc>
        <w:tc>
          <w:tcPr>
            <w:tcW w:w="2101" w:type="dxa"/>
            <w:shd w:val="clear" w:color="auto" w:fill="auto"/>
            <w:vAlign w:val="bottom"/>
          </w:tcPr>
          <w:p w14:paraId="32758B3C" w14:textId="412F6645" w:rsidR="00AC3850" w:rsidRPr="00BF4F9D" w:rsidRDefault="00B560D1" w:rsidP="00BF4F9D">
            <w:pPr>
              <w:pStyle w:val="NoSpacing"/>
              <w:ind w:left="46"/>
              <w:rPr>
                <w:rFonts w:ascii="Helvetica Neue" w:hAnsi="Helvetica Neue"/>
                <w:color w:val="FFFFFF" w:themeColor="background1"/>
              </w:rPr>
            </w:pPr>
            <w:r w:rsidRPr="00CC0632">
              <w:rPr>
                <w:rFonts w:ascii="Helvetica Neue" w:hAnsi="Helvetica Neue"/>
              </w:rPr>
              <w:t>12</w:t>
            </w:r>
            <w:r w:rsidR="00CC0632" w:rsidRPr="00CC0632">
              <w:rPr>
                <w:rFonts w:ascii="Helvetica Neue" w:hAnsi="Helvetica Neue"/>
              </w:rPr>
              <w:t>-7-2023</w:t>
            </w:r>
          </w:p>
        </w:tc>
      </w:tr>
      <w:tr w:rsidR="00C634A7" w14:paraId="7A624E70" w14:textId="77777777" w:rsidTr="001F0F67">
        <w:tc>
          <w:tcPr>
            <w:tcW w:w="9926" w:type="dxa"/>
            <w:gridSpan w:val="3"/>
            <w:tcBorders>
              <w:top w:val="single" w:sz="4" w:space="0" w:color="auto"/>
              <w:bottom w:val="single" w:sz="4" w:space="0" w:color="auto"/>
            </w:tcBorders>
            <w:shd w:val="clear" w:color="auto" w:fill="E2EFD9" w:themeFill="accent6" w:themeFillTint="33"/>
          </w:tcPr>
          <w:p w14:paraId="45D43E2E" w14:textId="6D8B5379" w:rsidR="00C634A7" w:rsidRPr="00CC0632" w:rsidRDefault="00C634A7" w:rsidP="00C634A7">
            <w:pPr>
              <w:pStyle w:val="NoSpacing"/>
              <w:ind w:right="-90"/>
              <w:rPr>
                <w:rFonts w:ascii="Helvetica Neue" w:hAnsi="Helvetica Neue"/>
                <w:b/>
                <w:bCs/>
              </w:rPr>
            </w:pPr>
            <w:r w:rsidRPr="00CC0632">
              <w:rPr>
                <w:rFonts w:ascii="Helvetica Neue" w:hAnsi="Helvetica Neue"/>
                <w:b/>
                <w:bCs/>
              </w:rPr>
              <w:t xml:space="preserve">List </w:t>
            </w:r>
            <w:r w:rsidR="009D0433" w:rsidRPr="00CC0632">
              <w:rPr>
                <w:rFonts w:ascii="Helvetica Neue" w:hAnsi="Helvetica Neue"/>
                <w:b/>
                <w:bCs/>
              </w:rPr>
              <w:t>staff</w:t>
            </w:r>
            <w:r w:rsidR="00067D72" w:rsidRPr="00CC0632">
              <w:rPr>
                <w:rFonts w:ascii="Helvetica Neue" w:hAnsi="Helvetica Neue"/>
                <w:b/>
                <w:bCs/>
              </w:rPr>
              <w:t xml:space="preserve"> and faculty </w:t>
            </w:r>
            <w:r w:rsidRPr="00CC0632">
              <w:rPr>
                <w:rFonts w:ascii="Helvetica Neue" w:hAnsi="Helvetica Neue"/>
                <w:b/>
                <w:bCs/>
              </w:rPr>
              <w:t xml:space="preserve">names with assignments in fall </w:t>
            </w:r>
            <w:r w:rsidR="00AB3545" w:rsidRPr="00CC0632">
              <w:rPr>
                <w:rFonts w:ascii="Helvetica Neue" w:hAnsi="Helvetica Neue"/>
                <w:b/>
                <w:bCs/>
              </w:rPr>
              <w:t>202</w:t>
            </w:r>
            <w:r w:rsidR="00067D72" w:rsidRPr="00CC0632">
              <w:rPr>
                <w:rFonts w:ascii="Helvetica Neue" w:hAnsi="Helvetica Neue"/>
                <w:b/>
                <w:bCs/>
              </w:rPr>
              <w:t>3</w:t>
            </w:r>
            <w:r w:rsidRPr="00CC0632">
              <w:rPr>
                <w:rFonts w:ascii="Helvetica Neue" w:hAnsi="Helvetica Neue"/>
                <w:b/>
                <w:bCs/>
              </w:rPr>
              <w:t>.</w:t>
            </w:r>
          </w:p>
        </w:tc>
      </w:tr>
      <w:tr w:rsidR="00C634A7" w14:paraId="3C1A124C" w14:textId="77777777" w:rsidTr="001F0F67">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1F0F67">
        <w:trPr>
          <w:trHeight w:val="131"/>
        </w:trPr>
        <w:tc>
          <w:tcPr>
            <w:tcW w:w="4963" w:type="dxa"/>
            <w:tcBorders>
              <w:top w:val="single" w:sz="4" w:space="0" w:color="auto"/>
            </w:tcBorders>
            <w:shd w:val="clear" w:color="auto" w:fill="auto"/>
            <w:vAlign w:val="bottom"/>
          </w:tcPr>
          <w:p w14:paraId="049756DB" w14:textId="3E635216" w:rsidR="00C634A7" w:rsidRPr="007335EF" w:rsidRDefault="00B560D1" w:rsidP="00BF4F9D">
            <w:pPr>
              <w:pStyle w:val="NoSpacing"/>
              <w:rPr>
                <w:rFonts w:ascii="Helvetica Neue" w:hAnsi="Helvetica Neue"/>
              </w:rPr>
            </w:pPr>
            <w:r>
              <w:rPr>
                <w:rFonts w:ascii="Helvetica Neue" w:hAnsi="Helvetica Neue"/>
              </w:rPr>
              <w:t>Andrea Williams</w:t>
            </w:r>
          </w:p>
        </w:tc>
        <w:tc>
          <w:tcPr>
            <w:tcW w:w="4963" w:type="dxa"/>
            <w:gridSpan w:val="2"/>
            <w:tcBorders>
              <w:top w:val="single" w:sz="4" w:space="0" w:color="auto"/>
            </w:tcBorders>
            <w:shd w:val="clear" w:color="auto" w:fill="auto"/>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CB70A4">
        <w:tc>
          <w:tcPr>
            <w:tcW w:w="9926" w:type="dxa"/>
            <w:shd w:val="clear" w:color="auto" w:fill="009193"/>
          </w:tcPr>
          <w:p w14:paraId="1C0DF46E" w14:textId="5CB6BEB7" w:rsidR="00636202" w:rsidRPr="0078795C" w:rsidRDefault="00C94A73" w:rsidP="00CB70A4">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1F0F67">
        <w:tc>
          <w:tcPr>
            <w:tcW w:w="9926" w:type="dxa"/>
            <w:shd w:val="clear" w:color="auto" w:fill="E2EFD9" w:themeFill="accent6" w:themeFillTint="33"/>
          </w:tcPr>
          <w:p w14:paraId="2D483924" w14:textId="7D89489C" w:rsidR="00636202" w:rsidRPr="00E01774" w:rsidRDefault="00067D72" w:rsidP="00CB70A4">
            <w:pPr>
              <w:rPr>
                <w:rFonts w:ascii="Helvetica Neue" w:eastAsiaTheme="minorEastAsia" w:hAnsi="Helvetica Neue"/>
                <w:b/>
                <w:bCs/>
                <w:sz w:val="22"/>
                <w:szCs w:val="22"/>
              </w:rPr>
            </w:pPr>
            <w:r w:rsidRPr="3BDEE636">
              <w:rPr>
                <w:rFonts w:ascii="Helvetica Neue" w:hAnsi="Helvetica Neue" w:cs="Segoe UI"/>
                <w:sz w:val="22"/>
                <w:szCs w:val="22"/>
              </w:rPr>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00636202" w:rsidRPr="007335EF" w14:paraId="602F3B98" w14:textId="77777777" w:rsidTr="001F0F67">
        <w:tc>
          <w:tcPr>
            <w:tcW w:w="9926" w:type="dxa"/>
            <w:shd w:val="clear" w:color="auto" w:fill="auto"/>
          </w:tcPr>
          <w:p w14:paraId="0A644BDA" w14:textId="77777777" w:rsidR="00636202" w:rsidRPr="007335EF" w:rsidRDefault="00636202" w:rsidP="00CB70A4">
            <w:pPr>
              <w:rPr>
                <w:rFonts w:ascii="Helvetica Neue" w:hAnsi="Helvetica Neue"/>
                <w:sz w:val="22"/>
                <w:szCs w:val="22"/>
              </w:rPr>
            </w:pPr>
          </w:p>
          <w:p w14:paraId="44BEA0E5" w14:textId="47579F4C" w:rsidR="00636202" w:rsidRPr="007335EF" w:rsidRDefault="004C042F" w:rsidP="00CB70A4">
            <w:pPr>
              <w:rPr>
                <w:rFonts w:ascii="Helvetica Neue" w:hAnsi="Helvetica Neue"/>
                <w:sz w:val="22"/>
                <w:szCs w:val="22"/>
              </w:rPr>
            </w:pPr>
            <w:r>
              <w:rPr>
                <w:rFonts w:ascii="Helvetica Neue" w:hAnsi="Helvetica Neue"/>
                <w:sz w:val="22"/>
                <w:szCs w:val="22"/>
              </w:rPr>
              <w:t xml:space="preserve">The Department Goals and Priorities are centered </w:t>
            </w:r>
            <w:proofErr w:type="gramStart"/>
            <w:r>
              <w:rPr>
                <w:rFonts w:ascii="Helvetica Neue" w:hAnsi="Helvetica Neue"/>
                <w:sz w:val="22"/>
                <w:szCs w:val="22"/>
              </w:rPr>
              <w:t>around</w:t>
            </w:r>
            <w:proofErr w:type="gramEnd"/>
            <w:r>
              <w:rPr>
                <w:rFonts w:ascii="Helvetica Neue" w:hAnsi="Helvetica Neue"/>
                <w:sz w:val="22"/>
                <w:szCs w:val="22"/>
              </w:rPr>
              <w:t xml:space="preserve"> increasing support and extending embedded services geared toward increasing completion and transfer rates among</w:t>
            </w:r>
            <w:r w:rsidR="004A1985">
              <w:rPr>
                <w:rFonts w:ascii="Helvetica Neue" w:hAnsi="Helvetica Neue"/>
                <w:sz w:val="22"/>
                <w:szCs w:val="22"/>
              </w:rPr>
              <w:t xml:space="preserve"> DI students, specifically</w:t>
            </w:r>
            <w:r>
              <w:rPr>
                <w:rFonts w:ascii="Helvetica Neue" w:hAnsi="Helvetica Neue"/>
                <w:sz w:val="22"/>
                <w:szCs w:val="22"/>
              </w:rPr>
              <w:t xml:space="preserve"> African American Students with an emphasis of 1</w:t>
            </w:r>
            <w:r w:rsidRPr="004C042F">
              <w:rPr>
                <w:rFonts w:ascii="Helvetica Neue" w:hAnsi="Helvetica Neue"/>
                <w:sz w:val="22"/>
                <w:szCs w:val="22"/>
                <w:vertAlign w:val="superscript"/>
              </w:rPr>
              <w:t>st</w:t>
            </w:r>
            <w:r w:rsidR="004A1985">
              <w:rPr>
                <w:rFonts w:ascii="Helvetica Neue" w:hAnsi="Helvetica Neue"/>
                <w:sz w:val="22"/>
                <w:szCs w:val="22"/>
              </w:rPr>
              <w:t xml:space="preserve"> gen African American Identifying male students.</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00CB70A4">
        <w:tc>
          <w:tcPr>
            <w:tcW w:w="9926" w:type="dxa"/>
            <w:shd w:val="clear" w:color="auto" w:fill="009193"/>
          </w:tcPr>
          <w:p w14:paraId="04FC9436" w14:textId="38EDD9EB" w:rsidR="00493B9B" w:rsidRPr="00A45E54" w:rsidRDefault="001B3627" w:rsidP="00CB70A4">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00CB70A4">
        <w:tc>
          <w:tcPr>
            <w:tcW w:w="9926" w:type="dxa"/>
            <w:shd w:val="clear" w:color="auto" w:fill="E2EFD9" w:themeFill="accent6" w:themeFillTint="33"/>
          </w:tcPr>
          <w:p w14:paraId="57659C9D" w14:textId="77777777" w:rsidR="00493B9B" w:rsidRDefault="00493B9B" w:rsidP="00CB70A4">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CB70A4">
            <w:pPr>
              <w:rPr>
                <w:rFonts w:ascii="Helvetica Neue" w:hAnsi="Helvetica Neue"/>
                <w:color w:val="000000" w:themeColor="text1"/>
                <w:sz w:val="23"/>
                <w:szCs w:val="23"/>
              </w:rPr>
            </w:pPr>
          </w:p>
          <w:p w14:paraId="16234C87" w14:textId="77777777" w:rsidR="00493B9B" w:rsidRDefault="00493B9B" w:rsidP="00CB70A4">
            <w:pPr>
              <w:rPr>
                <w:rFonts w:ascii="Helvetica Neue" w:hAnsi="Helvetica Neue"/>
                <w:color w:val="000000" w:themeColor="text1"/>
                <w:sz w:val="23"/>
                <w:szCs w:val="23"/>
              </w:rPr>
            </w:pPr>
            <w:r w:rsidRPr="008828F5">
              <w:rPr>
                <w:rFonts w:ascii="Helvetica Neue" w:hAnsi="Helvetica Neue"/>
                <w:color w:val="000000" w:themeColor="text1"/>
                <w:sz w:val="23"/>
                <w:szCs w:val="23"/>
              </w:rPr>
              <w:lastRenderedPageBreak/>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CB70A4">
            <w:pPr>
              <w:rPr>
                <w:rFonts w:ascii="Helvetica Neue" w:hAnsi="Helvetica Neue"/>
                <w:color w:val="000000" w:themeColor="text1"/>
                <w:sz w:val="23"/>
                <w:szCs w:val="23"/>
              </w:rPr>
            </w:pPr>
          </w:p>
          <w:p w14:paraId="6692A849" w14:textId="4EAFA35C" w:rsidR="00B951C5" w:rsidRPr="008731CA" w:rsidRDefault="00B951C5" w:rsidP="00CB70A4">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w:t>
              </w:r>
              <w:r w:rsidRPr="00AB45DB">
                <w:rPr>
                  <w:rStyle w:val="Hyperlink"/>
                  <w:rFonts w:ascii="Helvetica Neue" w:hAnsi="Helvetica Neue"/>
                  <w:sz w:val="23"/>
                  <w:szCs w:val="23"/>
                </w:rPr>
                <w:t xml:space="preserve"> </w:t>
              </w:r>
              <w:r w:rsidRPr="00AB45DB">
                <w:rPr>
                  <w:rStyle w:val="Hyperlink"/>
                  <w:rFonts w:ascii="Helvetica Neue" w:hAnsi="Helvetica Neue"/>
                  <w:sz w:val="23"/>
                  <w:szCs w:val="23"/>
                </w:rPr>
                <w:t>view your Round 5 Assessment Calendar</w:t>
              </w:r>
            </w:hyperlink>
            <w:r>
              <w:rPr>
                <w:rFonts w:ascii="Helvetica Neue" w:hAnsi="Helvetica Neue"/>
                <w:color w:val="000000" w:themeColor="text1"/>
                <w:sz w:val="23"/>
                <w:szCs w:val="23"/>
              </w:rPr>
              <w:t>&gt;</w:t>
            </w:r>
          </w:p>
        </w:tc>
      </w:tr>
      <w:tr w:rsidR="00493B9B" w:rsidRPr="00EC7286" w14:paraId="16370285" w14:textId="77777777" w:rsidTr="001F0F67">
        <w:tc>
          <w:tcPr>
            <w:tcW w:w="9926" w:type="dxa"/>
            <w:shd w:val="clear" w:color="auto" w:fill="E2EFD9" w:themeFill="accent6" w:themeFillTint="33"/>
          </w:tcPr>
          <w:p w14:paraId="22619FAA" w14:textId="5ACD47D7" w:rsidR="00493B9B" w:rsidRPr="00266533" w:rsidRDefault="001B3627" w:rsidP="00CB70A4">
            <w:pPr>
              <w:rPr>
                <w:rStyle w:val="eop"/>
                <w:rFonts w:ascii="Helvetica Neue" w:hAnsi="Helvetica Neue" w:cs="Arial"/>
                <w:b/>
                <w:bCs/>
                <w:color w:val="000000" w:themeColor="text1"/>
                <w:sz w:val="22"/>
                <w:szCs w:val="22"/>
              </w:rPr>
            </w:pPr>
            <w:r>
              <w:rPr>
                <w:rFonts w:ascii="Helvetica Neue" w:hAnsi="Helvetica Neue"/>
                <w:b/>
                <w:bCs/>
                <w:sz w:val="22"/>
                <w:szCs w:val="22"/>
              </w:rPr>
              <w:lastRenderedPageBreak/>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001F0F67">
        <w:tc>
          <w:tcPr>
            <w:tcW w:w="9926" w:type="dxa"/>
            <w:shd w:val="clear" w:color="auto" w:fill="auto"/>
          </w:tcPr>
          <w:p w14:paraId="57685FE9" w14:textId="3B900151" w:rsidR="00493B9B" w:rsidRDefault="00CC0632" w:rsidP="00CB70A4">
            <w:pPr>
              <w:rPr>
                <w:rFonts w:ascii="Helvetica Neue" w:hAnsi="Helvetica Neue"/>
                <w:color w:val="000000" w:themeColor="text1"/>
                <w:sz w:val="22"/>
                <w:szCs w:val="22"/>
              </w:rPr>
            </w:pPr>
            <w:r>
              <w:rPr>
                <w:rFonts w:ascii="Helvetica Neue" w:hAnsi="Helvetica Neue"/>
                <w:color w:val="000000" w:themeColor="text1"/>
                <w:sz w:val="22"/>
                <w:szCs w:val="22"/>
              </w:rPr>
              <w:t xml:space="preserve">The services provided in the center </w:t>
            </w:r>
            <w:r w:rsidR="004A1985">
              <w:rPr>
                <w:rFonts w:ascii="Helvetica Neue" w:hAnsi="Helvetica Neue"/>
                <w:color w:val="000000" w:themeColor="text1"/>
                <w:sz w:val="22"/>
                <w:szCs w:val="22"/>
              </w:rPr>
              <w:t>were all rated at least 4 or 5 with 5 being the highest rating</w:t>
            </w:r>
            <w:r>
              <w:rPr>
                <w:rFonts w:ascii="Helvetica Neue" w:hAnsi="Helvetica Neue"/>
                <w:color w:val="000000" w:themeColor="text1"/>
                <w:sz w:val="22"/>
                <w:szCs w:val="22"/>
              </w:rPr>
              <w:t>. The areas of improvement is around staffing and the need for a bigger space to accommodate workshops and support students on a larger scale.</w:t>
            </w:r>
            <w:r w:rsidR="004A1985">
              <w:rPr>
                <w:rFonts w:ascii="Helvetica Neue" w:hAnsi="Helvetica Neue"/>
                <w:color w:val="000000" w:themeColor="text1"/>
                <w:sz w:val="22"/>
                <w:szCs w:val="22"/>
              </w:rPr>
              <w:t xml:space="preserve"> Additional staffing, even a part-time Admin would increase the ability for outreach and additional programming like a Transfer Academy to support Di Students.</w:t>
            </w:r>
          </w:p>
          <w:p w14:paraId="5A34654E" w14:textId="77777777" w:rsidR="00493B9B" w:rsidRPr="00266533" w:rsidRDefault="00493B9B" w:rsidP="00CB70A4">
            <w:pPr>
              <w:rPr>
                <w:rFonts w:ascii="Helvetica Neue" w:hAnsi="Helvetica Neue"/>
                <w:color w:val="000000" w:themeColor="text1"/>
                <w:sz w:val="22"/>
                <w:szCs w:val="22"/>
              </w:rPr>
            </w:pPr>
          </w:p>
        </w:tc>
      </w:tr>
      <w:tr w:rsidR="00493B9B" w:rsidRPr="00EC7286" w14:paraId="03C59CF3" w14:textId="77777777" w:rsidTr="001F0F67">
        <w:tc>
          <w:tcPr>
            <w:tcW w:w="9926" w:type="dxa"/>
            <w:shd w:val="clear" w:color="auto" w:fill="E2EFD9" w:themeFill="accent6" w:themeFillTint="33"/>
          </w:tcPr>
          <w:p w14:paraId="2EA825F9" w14:textId="26035017" w:rsidR="00493B9B" w:rsidRPr="00266533" w:rsidRDefault="001B3627" w:rsidP="00CB70A4">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001F0F67">
        <w:tc>
          <w:tcPr>
            <w:tcW w:w="9926" w:type="dxa"/>
            <w:shd w:val="clear" w:color="auto" w:fill="auto"/>
          </w:tcPr>
          <w:p w14:paraId="4F22C16F" w14:textId="77777777" w:rsidR="00493B9B" w:rsidRDefault="00493B9B" w:rsidP="00CB70A4">
            <w:pPr>
              <w:rPr>
                <w:rFonts w:ascii="Helvetica Neue" w:hAnsi="Helvetica Neue"/>
                <w:color w:val="000000" w:themeColor="text1"/>
                <w:sz w:val="22"/>
                <w:szCs w:val="22"/>
              </w:rPr>
            </w:pPr>
          </w:p>
          <w:p w14:paraId="0363B125" w14:textId="718A4862" w:rsidR="00493B9B" w:rsidRPr="00266533" w:rsidRDefault="006064E4" w:rsidP="00CB70A4">
            <w:pPr>
              <w:rPr>
                <w:rFonts w:ascii="Helvetica Neue" w:hAnsi="Helvetica Neue"/>
                <w:color w:val="000000" w:themeColor="text1"/>
                <w:sz w:val="22"/>
                <w:szCs w:val="22"/>
              </w:rPr>
            </w:pPr>
            <w:r>
              <w:rPr>
                <w:rFonts w:ascii="Helvetica Neue" w:hAnsi="Helvetica Neue"/>
                <w:color w:val="000000" w:themeColor="text1"/>
                <w:sz w:val="22"/>
                <w:szCs w:val="22"/>
              </w:rPr>
              <w:t>Waiting on Data</w:t>
            </w:r>
          </w:p>
        </w:tc>
      </w:tr>
      <w:tr w:rsidR="00493B9B" w:rsidRPr="00EC7286" w14:paraId="0BCA4A4F" w14:textId="77777777" w:rsidTr="001F0F67">
        <w:tc>
          <w:tcPr>
            <w:tcW w:w="9926" w:type="dxa"/>
            <w:shd w:val="clear" w:color="auto" w:fill="E2EFD9" w:themeFill="accent6" w:themeFillTint="33"/>
          </w:tcPr>
          <w:p w14:paraId="77762DDC" w14:textId="12E8BD98" w:rsidR="00493B9B" w:rsidRPr="00266533" w:rsidRDefault="001B3627" w:rsidP="00CB70A4">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001F0F67">
        <w:tc>
          <w:tcPr>
            <w:tcW w:w="9926" w:type="dxa"/>
            <w:shd w:val="clear" w:color="auto" w:fill="auto"/>
          </w:tcPr>
          <w:p w14:paraId="4896944F" w14:textId="24FFE824" w:rsidR="004C042F" w:rsidRDefault="004C042F" w:rsidP="00CB70A4">
            <w:pPr>
              <w:rPr>
                <w:rFonts w:ascii="Helvetica Neue" w:hAnsi="Helvetica Neue"/>
                <w:color w:val="000000" w:themeColor="text1"/>
                <w:sz w:val="22"/>
                <w:szCs w:val="22"/>
              </w:rPr>
            </w:pPr>
            <w:hyperlink r:id="rId21" w:history="1">
              <w:r w:rsidRPr="00BC5BB1">
                <w:rPr>
                  <w:rStyle w:val="Hyperlink"/>
                  <w:rFonts w:ascii="Helvetica Neue" w:hAnsi="Helvetica Neue"/>
                  <w:sz w:val="22"/>
                  <w:szCs w:val="22"/>
                </w:rPr>
                <w:t>https://forms.gle/vMbkjZ6CSCTRYzE28</w:t>
              </w:r>
            </w:hyperlink>
          </w:p>
          <w:p w14:paraId="7DFC3A7E" w14:textId="77777777" w:rsidR="004C042F" w:rsidRDefault="004C042F" w:rsidP="00CB70A4">
            <w:pPr>
              <w:rPr>
                <w:rFonts w:ascii="Helvetica Neue" w:hAnsi="Helvetica Neue"/>
                <w:color w:val="000000" w:themeColor="text1"/>
                <w:sz w:val="22"/>
                <w:szCs w:val="22"/>
              </w:rPr>
            </w:pPr>
          </w:p>
          <w:p w14:paraId="696B3AF2" w14:textId="5B09C330" w:rsidR="00493B9B" w:rsidRPr="00266533" w:rsidRDefault="004C042F" w:rsidP="00CB70A4">
            <w:pPr>
              <w:rPr>
                <w:rFonts w:ascii="Helvetica Neue" w:hAnsi="Helvetica Neue"/>
                <w:color w:val="000000" w:themeColor="text1"/>
                <w:sz w:val="22"/>
                <w:szCs w:val="22"/>
              </w:rPr>
            </w:pPr>
            <w:r>
              <w:rPr>
                <w:rFonts w:ascii="Helvetica Neue" w:hAnsi="Helvetica Neue"/>
                <w:color w:val="000000" w:themeColor="text1"/>
                <w:sz w:val="22"/>
                <w:szCs w:val="22"/>
              </w:rPr>
              <w:t>This link is on The Career and Transfer Center’s Website under Feedback.</w:t>
            </w: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67171CB2">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2"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67171CB2">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67171CB2">
        <w:tc>
          <w:tcPr>
            <w:tcW w:w="9926" w:type="dxa"/>
            <w:shd w:val="clear" w:color="auto" w:fill="E2EFD9" w:themeFill="accent6" w:themeFillTint="33"/>
          </w:tcPr>
          <w:p w14:paraId="5E6C210D" w14:textId="787941C3" w:rsidR="009B18A6" w:rsidRPr="00211807" w:rsidRDefault="00067D72" w:rsidP="00D34063">
            <w:pPr>
              <w:pStyle w:val="NoSpacing"/>
              <w:rPr>
                <w:rFonts w:ascii="Helvetica Neue" w:hAnsi="Helvetica Neue"/>
                <w:b/>
                <w:bCs/>
              </w:rPr>
            </w:pPr>
            <w:r w:rsidRPr="3BDEE636">
              <w:rPr>
                <w:rFonts w:ascii="Helvetica Neue" w:hAnsi="Helvetica Neue"/>
                <w:b/>
                <w:bCs/>
              </w:rPr>
              <w:t xml:space="preserve">We have focused on equitable completion for </w:t>
            </w:r>
            <w:proofErr w:type="spellStart"/>
            <w:r w:rsidRPr="3BDEE636">
              <w:rPr>
                <w:rFonts w:ascii="Helvetica Neue" w:hAnsi="Helvetica Neue"/>
                <w:b/>
                <w:bCs/>
              </w:rPr>
              <w:t>Latinx</w:t>
            </w:r>
            <w:proofErr w:type="spellEnd"/>
            <w:r w:rsidRPr="3BDEE636">
              <w:rPr>
                <w:rFonts w:ascii="Helvetica Neue" w:hAnsi="Helvetica Neue"/>
                <w:b/>
                <w:bCs/>
              </w:rPr>
              <w:t xml:space="preserve"> and African/African American students How are African/African American and </w:t>
            </w:r>
            <w:proofErr w:type="spellStart"/>
            <w:r w:rsidRPr="3BDEE636">
              <w:rPr>
                <w:rFonts w:ascii="Helvetica Neue" w:hAnsi="Helvetica Neue"/>
                <w:b/>
                <w:bCs/>
              </w:rPr>
              <w:t>Latinx</w:t>
            </w:r>
            <w:proofErr w:type="spellEnd"/>
            <w:r w:rsidRPr="3BDEE636">
              <w:rPr>
                <w:rFonts w:ascii="Helvetica Neue" w:hAnsi="Helvetica Neue"/>
                <w:b/>
                <w:bCs/>
              </w:rPr>
              <w:t xml:space="preserve">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14:paraId="7F4760A8" w14:textId="77777777" w:rsidTr="67171CB2">
        <w:tc>
          <w:tcPr>
            <w:tcW w:w="9926" w:type="dxa"/>
            <w:shd w:val="clear" w:color="auto" w:fill="auto"/>
          </w:tcPr>
          <w:p w14:paraId="6C9CB12A" w14:textId="5FD15B8C" w:rsidR="009B18A6" w:rsidRDefault="00CB70A4" w:rsidP="00D34063">
            <w:pPr>
              <w:pStyle w:val="NoSpacing"/>
              <w:rPr>
                <w:rFonts w:ascii="Helvetica Neue" w:hAnsi="Helvetica Neue"/>
              </w:rPr>
            </w:pPr>
            <w:r>
              <w:rPr>
                <w:rFonts w:ascii="Helvetica Neue" w:hAnsi="Helvetica Neue"/>
              </w:rPr>
              <w:t>Waiting on Data</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67171CB2">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67171CB2">
        <w:tc>
          <w:tcPr>
            <w:tcW w:w="9926" w:type="dxa"/>
            <w:shd w:val="clear" w:color="auto" w:fill="auto"/>
          </w:tcPr>
          <w:p w14:paraId="77406F15" w14:textId="77777777" w:rsidR="009B18A6" w:rsidRDefault="009B18A6" w:rsidP="009B18A6">
            <w:pPr>
              <w:pStyle w:val="NoSpacing"/>
              <w:rPr>
                <w:rFonts w:ascii="Helvetica Neue" w:hAnsi="Helvetica Neue"/>
              </w:rPr>
            </w:pPr>
          </w:p>
          <w:p w14:paraId="52C591C4" w14:textId="12A80963" w:rsidR="009B18A6" w:rsidRPr="007335EF" w:rsidRDefault="00CC0632" w:rsidP="009B18A6">
            <w:pPr>
              <w:pStyle w:val="NoSpacing"/>
              <w:rPr>
                <w:rFonts w:ascii="Helvetica Neue" w:hAnsi="Helvetica Neue"/>
              </w:rPr>
            </w:pPr>
            <w:r>
              <w:rPr>
                <w:rFonts w:ascii="Helvetica Neue" w:hAnsi="Helvetica Neue"/>
              </w:rPr>
              <w:t>The center’s collaboration with diverse stakeholders, i.e. Counseling, Special Programs, Teaching F</w:t>
            </w:r>
            <w:r w:rsidR="007B3DF6">
              <w:rPr>
                <w:rFonts w:ascii="Helvetica Neue" w:hAnsi="Helvetica Neue"/>
              </w:rPr>
              <w:t>aculty, and student mentors of color have contributed to the success of increased rates of completion and acceptance</w:t>
            </w:r>
            <w:r w:rsidR="004A1985">
              <w:rPr>
                <w:rFonts w:ascii="Helvetica Neue" w:hAnsi="Helvetica Neue"/>
              </w:rPr>
              <w:t>. The center Coordinator’s cases management and culturally sensitive approach to supporting students provides space where students feel safe and supported to realize their transfer goals and success</w:t>
            </w:r>
            <w:bookmarkStart w:id="0" w:name="_GoBack"/>
            <w:bookmarkEnd w:id="0"/>
          </w:p>
        </w:tc>
      </w:tr>
      <w:tr w:rsidR="009B18A6" w14:paraId="385A49FF" w14:textId="77777777" w:rsidTr="67171CB2">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14:paraId="79A7B773" w14:textId="77777777" w:rsidTr="67171CB2">
        <w:tc>
          <w:tcPr>
            <w:tcW w:w="9926" w:type="dxa"/>
            <w:shd w:val="clear" w:color="auto" w:fill="auto"/>
          </w:tcPr>
          <w:p w14:paraId="0C50DA4B" w14:textId="77777777" w:rsidR="009B18A6" w:rsidRDefault="009B18A6" w:rsidP="009B18A6">
            <w:pPr>
              <w:pStyle w:val="NoSpacing"/>
              <w:rPr>
                <w:rFonts w:ascii="Helvetica Neue" w:hAnsi="Helvetica Neue"/>
              </w:rPr>
            </w:pPr>
          </w:p>
          <w:p w14:paraId="6983A040" w14:textId="3A90488C" w:rsidR="009B18A6" w:rsidRPr="007335EF" w:rsidRDefault="33FB7806" w:rsidP="00CC0632">
            <w:pPr>
              <w:pStyle w:val="NoSpacing"/>
              <w:rPr>
                <w:rFonts w:ascii="Helvetica Neue" w:hAnsi="Helvetica Neue"/>
              </w:rPr>
            </w:pPr>
            <w:r w:rsidRPr="67171CB2">
              <w:rPr>
                <w:rFonts w:ascii="Helvetica Neue" w:hAnsi="Helvetica Neue"/>
              </w:rPr>
              <w:t>More targeted outreach to DI s</w:t>
            </w:r>
            <w:r w:rsidR="007B3DF6">
              <w:rPr>
                <w:rFonts w:ascii="Helvetica Neue" w:hAnsi="Helvetica Neue"/>
              </w:rPr>
              <w:t>tudents, specifically centered around</w:t>
            </w:r>
            <w:r w:rsidRPr="67171CB2">
              <w:rPr>
                <w:rFonts w:ascii="Helvetica Neue" w:hAnsi="Helvetica Neue"/>
              </w:rPr>
              <w:t xml:space="preserve"> African American Students with an emphasis on African American Male Students.</w:t>
            </w:r>
            <w:r w:rsidR="00CC0632">
              <w:rPr>
                <w:rFonts w:ascii="Helvetica Neue" w:hAnsi="Helvetica Neue"/>
              </w:rPr>
              <w:t xml:space="preserve"> Collaborate with all Learning Communities in a focused and intentional manner and work towards becoming imbedded into courses. </w:t>
            </w:r>
            <w:r w:rsidR="007B3DF6">
              <w:rPr>
                <w:rFonts w:ascii="Helvetica Neue" w:hAnsi="Helvetica Neue"/>
              </w:rPr>
              <w:t xml:space="preserve">Attend BSU, </w:t>
            </w:r>
            <w:proofErr w:type="spellStart"/>
            <w:r w:rsidR="007B3DF6">
              <w:rPr>
                <w:rFonts w:ascii="Helvetica Neue" w:hAnsi="Helvetica Neue"/>
              </w:rPr>
              <w:t>Umoja</w:t>
            </w:r>
            <w:proofErr w:type="spellEnd"/>
            <w:r w:rsidR="007B3DF6">
              <w:rPr>
                <w:rFonts w:ascii="Helvetica Neue" w:hAnsi="Helvetica Neue"/>
              </w:rPr>
              <w:t xml:space="preserve">, </w:t>
            </w:r>
            <w:proofErr w:type="gramStart"/>
            <w:r w:rsidR="007B3DF6">
              <w:rPr>
                <w:rFonts w:ascii="Helvetica Neue" w:hAnsi="Helvetica Neue"/>
              </w:rPr>
              <w:t>EOPS</w:t>
            </w:r>
            <w:proofErr w:type="gramEnd"/>
            <w:r w:rsidR="007B3DF6">
              <w:rPr>
                <w:rFonts w:ascii="Helvetica Neue" w:hAnsi="Helvetica Neue"/>
              </w:rPr>
              <w:t xml:space="preserve">, speak </w:t>
            </w:r>
            <w:r w:rsidR="007B3DF6">
              <w:rPr>
                <w:rFonts w:ascii="Helvetica Neue" w:hAnsi="Helvetica Neue"/>
              </w:rPr>
              <w:lastRenderedPageBreak/>
              <w:t>with faculty to give presentations in classrooms, all areas where African American Students are present to build intentional relationships.</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4">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F0F67">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106447" w:rsidRPr="00EC7286" w14:paraId="69E2598A" w14:textId="77777777" w:rsidTr="001F0F67">
        <w:tc>
          <w:tcPr>
            <w:tcW w:w="9926" w:type="dxa"/>
            <w:shd w:val="clear" w:color="auto" w:fill="auto"/>
          </w:tcPr>
          <w:p w14:paraId="77B76DFE" w14:textId="16CE2BFA" w:rsidR="00106447" w:rsidRPr="007335EF" w:rsidRDefault="00CB70A4" w:rsidP="00EE3904">
            <w:pPr>
              <w:rPr>
                <w:rFonts w:ascii="Helvetica Neue" w:hAnsi="Helvetica Neue"/>
                <w:sz w:val="22"/>
                <w:szCs w:val="22"/>
              </w:rPr>
            </w:pPr>
            <w:r>
              <w:rPr>
                <w:rFonts w:ascii="Helvetica Neue" w:hAnsi="Helvetica Neue"/>
                <w:sz w:val="22"/>
                <w:szCs w:val="22"/>
              </w:rPr>
              <w:t>Waiting on Data</w:t>
            </w:r>
          </w:p>
          <w:p w14:paraId="45B5C8BA" w14:textId="19EB8E9E"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CB70A4">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CB70A4">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CB70A4">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CB70A4">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CB70A4">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7A87F4BA" w14:textId="77777777" w:rsidTr="001F0F67">
        <w:trPr>
          <w:trHeight w:val="2870"/>
        </w:trPr>
        <w:tc>
          <w:tcPr>
            <w:tcW w:w="9926" w:type="dxa"/>
            <w:shd w:val="clear" w:color="auto" w:fill="E2EFD9" w:themeFill="accent6" w:themeFillTint="33"/>
          </w:tcPr>
          <w:p w14:paraId="0DA4B1EE" w14:textId="57376F65"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375F82" w:rsidRPr="00BC7C2B" w14:paraId="36429405" w14:textId="77777777" w:rsidTr="00CB70A4">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375F82" w:rsidRPr="00BC7C2B" w:rsidRDefault="00375F82" w:rsidP="00375F8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375F82" w:rsidRPr="00BC7C2B" w:rsidRDefault="00375F82" w:rsidP="00375F8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375F82" w:rsidRPr="00E156B9" w14:paraId="64C40C9E" w14:textId="77777777" w:rsidTr="00CB70A4">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156B9" w14:paraId="73BAB54A" w14:textId="77777777" w:rsidTr="00CB70A4">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375F82" w:rsidRPr="00E156B9" w14:paraId="2B6BCD02" w14:textId="77777777" w:rsidTr="00CB70A4">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375F82" w:rsidRPr="00E156B9" w14:paraId="1AB19007" w14:textId="77777777" w:rsidTr="00CB70A4">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375F82" w:rsidRPr="00E156B9" w:rsidRDefault="00375F82" w:rsidP="00375F8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111555C4" w14:textId="34B48D7D" w:rsidR="00880391" w:rsidRPr="007335EF" w:rsidRDefault="00880391" w:rsidP="00880391">
            <w:pPr>
              <w:rPr>
                <w:rFonts w:ascii="Helvetica Neue" w:hAnsi="Helvetica Neue"/>
                <w:sz w:val="22"/>
                <w:szCs w:val="22"/>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CB70A4">
        <w:tc>
          <w:tcPr>
            <w:tcW w:w="9926" w:type="dxa"/>
            <w:shd w:val="clear" w:color="auto" w:fill="009193"/>
          </w:tcPr>
          <w:p w14:paraId="65C28288" w14:textId="3133FC91" w:rsidR="00C407EA" w:rsidRPr="006425C8" w:rsidRDefault="001B3627" w:rsidP="00CB70A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1F0F67">
        <w:tc>
          <w:tcPr>
            <w:tcW w:w="9926" w:type="dxa"/>
            <w:shd w:val="clear" w:color="auto" w:fill="E2EFD9" w:themeFill="accent6" w:themeFillTint="33"/>
          </w:tcPr>
          <w:p w14:paraId="483BB289" w14:textId="7F6F4E4F" w:rsidR="00954800" w:rsidRPr="00B822F5" w:rsidRDefault="00954800" w:rsidP="00954800">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1F0F67">
        <w:tc>
          <w:tcPr>
            <w:tcW w:w="9926" w:type="dxa"/>
            <w:shd w:val="clear" w:color="auto" w:fill="auto"/>
          </w:tcPr>
          <w:p w14:paraId="53C86E88" w14:textId="169829DA" w:rsidR="00C407EA" w:rsidRPr="001F0F67" w:rsidRDefault="001F0F67" w:rsidP="00CB70A4">
            <w:pPr>
              <w:rPr>
                <w:rFonts w:ascii="Helvetica Neue" w:eastAsia="Avenir Black" w:hAnsi="Helvetica Neue" w:cs="Avenir Black"/>
                <w:color w:val="000000" w:themeColor="text1"/>
                <w:sz w:val="22"/>
                <w:szCs w:val="22"/>
              </w:rPr>
            </w:pPr>
            <w:r w:rsidRPr="001F0F67">
              <w:rPr>
                <w:rFonts w:ascii="Helvetica Neue" w:eastAsia="Avenir Black" w:hAnsi="Helvetica Neue" w:cs="Avenir Black"/>
                <w:color w:val="000000" w:themeColor="text1"/>
                <w:sz w:val="22"/>
                <w:szCs w:val="22"/>
              </w:rPr>
              <w:lastRenderedPageBreak/>
              <w:t>Respond here:</w:t>
            </w:r>
            <w:r w:rsidR="007B3DF6">
              <w:rPr>
                <w:rFonts w:ascii="Helvetica Neue" w:eastAsia="Avenir Black" w:hAnsi="Helvetica Neue" w:cs="Avenir Black"/>
                <w:color w:val="000000" w:themeColor="text1"/>
                <w:sz w:val="22"/>
                <w:szCs w:val="22"/>
              </w:rPr>
              <w:t xml:space="preserve"> Develop continued and embedded relationships with HS Counselors, Adult Schools, Credit Recovery Schools to target stu</w:t>
            </w:r>
            <w:r w:rsidR="004C042F">
              <w:rPr>
                <w:rFonts w:ascii="Helvetica Neue" w:eastAsia="Avenir Black" w:hAnsi="Helvetica Neue" w:cs="Avenir Black"/>
                <w:color w:val="000000" w:themeColor="text1"/>
                <w:sz w:val="22"/>
                <w:szCs w:val="22"/>
              </w:rPr>
              <w:t>dents of color, specifically</w:t>
            </w:r>
            <w:r w:rsidR="007B3DF6">
              <w:rPr>
                <w:rFonts w:ascii="Helvetica Neue" w:eastAsia="Avenir Black" w:hAnsi="Helvetica Neue" w:cs="Avenir Black"/>
                <w:color w:val="000000" w:themeColor="text1"/>
                <w:sz w:val="22"/>
                <w:szCs w:val="22"/>
              </w:rPr>
              <w:t xml:space="preserve"> students that may not be on a college track.</w:t>
            </w:r>
            <w:r w:rsidR="004C042F">
              <w:rPr>
                <w:rFonts w:ascii="Helvetica Neue" w:eastAsia="Avenir Black" w:hAnsi="Helvetica Neue" w:cs="Avenir Black"/>
                <w:color w:val="000000" w:themeColor="text1"/>
                <w:sz w:val="22"/>
                <w:szCs w:val="22"/>
              </w:rPr>
              <w:t xml:space="preserve"> Work around college application timelines to introduce students to the options available at BCC and then the trajectory needed to transfer.</w:t>
            </w:r>
          </w:p>
          <w:p w14:paraId="7886CF98" w14:textId="77777777" w:rsidR="00A16362" w:rsidRDefault="00A16362" w:rsidP="00CB70A4">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7"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8">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9"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001F0F67">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001F0F67">
        <w:tc>
          <w:tcPr>
            <w:tcW w:w="9926" w:type="dxa"/>
            <w:shd w:val="clear" w:color="auto" w:fill="auto"/>
          </w:tcPr>
          <w:p w14:paraId="60BF335B" w14:textId="5F1DDCD5" w:rsidR="00F4718F" w:rsidRDefault="00F4718F" w:rsidP="00EE3904">
            <w:pPr>
              <w:rPr>
                <w:rFonts w:ascii="Helvetica Neue" w:hAnsi="Helvetica Neue"/>
                <w:sz w:val="22"/>
                <w:szCs w:val="22"/>
              </w:rPr>
            </w:pPr>
          </w:p>
          <w:p w14:paraId="198965BD" w14:textId="2708A749" w:rsidR="00F4718F" w:rsidRPr="00F4718F" w:rsidRDefault="00CB70A4" w:rsidP="00EE3904">
            <w:pPr>
              <w:rPr>
                <w:rFonts w:ascii="Helvetica Neue" w:hAnsi="Helvetica Neue"/>
                <w:sz w:val="22"/>
                <w:szCs w:val="22"/>
              </w:rPr>
            </w:pPr>
            <w:r>
              <w:rPr>
                <w:rFonts w:ascii="Helvetica Neue" w:hAnsi="Helvetica Neue"/>
                <w:sz w:val="22"/>
                <w:szCs w:val="22"/>
              </w:rPr>
              <w:t>N/A</w:t>
            </w:r>
          </w:p>
        </w:tc>
      </w:tr>
      <w:tr w:rsidR="001B3627" w14:paraId="4EFC837A" w14:textId="77777777" w:rsidTr="001F0F67">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1B3627" w14:paraId="54B0422D" w14:textId="77777777" w:rsidTr="001F0F67">
        <w:tc>
          <w:tcPr>
            <w:tcW w:w="9926" w:type="dxa"/>
            <w:shd w:val="clear" w:color="auto" w:fill="auto"/>
          </w:tcPr>
          <w:p w14:paraId="256F02DE" w14:textId="795F3D11" w:rsidR="001B3627" w:rsidRDefault="00CB70A4" w:rsidP="00EE3904">
            <w:pPr>
              <w:rPr>
                <w:rFonts w:ascii="Helvetica Neue" w:hAnsi="Helvetica Neue"/>
                <w:sz w:val="22"/>
                <w:szCs w:val="22"/>
              </w:rPr>
            </w:pPr>
            <w:r>
              <w:rPr>
                <w:rFonts w:ascii="Helvetica Neue" w:hAnsi="Helvetica Neue"/>
                <w:sz w:val="22"/>
                <w:szCs w:val="22"/>
              </w:rPr>
              <w:t>Waiting on Data</w:t>
            </w:r>
          </w:p>
          <w:p w14:paraId="431D436B" w14:textId="77777777" w:rsidR="001B3627" w:rsidRDefault="001B3627" w:rsidP="00EE3904">
            <w:pPr>
              <w:rPr>
                <w:rFonts w:ascii="Helvetica Neue" w:hAnsi="Helvetica Neue"/>
                <w:sz w:val="22"/>
                <w:szCs w:val="22"/>
              </w:rPr>
            </w:pPr>
          </w:p>
        </w:tc>
      </w:tr>
      <w:tr w:rsidR="001C2F46" w:rsidRPr="00EC7286" w14:paraId="2638714C" w14:textId="77777777" w:rsidTr="00A45E54">
        <w:tc>
          <w:tcPr>
            <w:tcW w:w="9926" w:type="dxa"/>
            <w:shd w:val="clear" w:color="auto" w:fill="009193"/>
          </w:tcPr>
          <w:p w14:paraId="443451F1" w14:textId="217E586E" w:rsidR="001C2F46" w:rsidRPr="00A45E54" w:rsidRDefault="00CB70A4" w:rsidP="00115D65">
            <w:pPr>
              <w:pStyle w:val="NoSpacing"/>
              <w:ind w:left="80"/>
              <w:rPr>
                <w:rFonts w:ascii="Helvetica Neue" w:hAnsi="Helvetica Neue"/>
                <w:b/>
                <w:bCs/>
                <w:color w:val="FFFFFF" w:themeColor="background1"/>
                <w:sz w:val="28"/>
                <w:szCs w:val="28"/>
              </w:rPr>
            </w:pPr>
            <w:r>
              <w:fldChar w:fldCharType="begin"/>
            </w:r>
            <w:r>
              <w:instrText xml:space="preserve"> HYPERLINK "https://app.powerbi.com/view?r=eyJrIjoiZjU2M2M5MzItOTcwZi00Y2U1LWJmODUtYTc0YjlhZGI2ZDhjIiwidCI6ImVlYTE2YTE2LTQ4YWYtNDc3Yi05MTEzLTA1YjFjMDExMjNmZiIsImMiOjZ9&amp;pageName=ReportSectionde32556e136b0a8caccd" </w:instrText>
            </w:r>
            <w:r>
              <w:fldChar w:fldCharType="separate"/>
            </w:r>
            <w:r w:rsidR="00954800" w:rsidRPr="00FB2A0E">
              <w:rPr>
                <w:rStyle w:val="Hyperlink"/>
                <w:rFonts w:ascii="Helvetica Neue" w:hAnsi="Helvetica Neue"/>
                <w:b/>
                <w:bCs/>
                <w:sz w:val="28"/>
                <w:szCs w:val="28"/>
              </w:rPr>
              <w:t>Degrees and Certificates Dashboard</w:t>
            </w:r>
            <w:r>
              <w:rPr>
                <w:rStyle w:val="Hyperlink"/>
                <w:rFonts w:ascii="Helvetica Neue" w:hAnsi="Helvetica Neue"/>
                <w:b/>
                <w:bCs/>
                <w:sz w:val="28"/>
                <w:szCs w:val="28"/>
              </w:rPr>
              <w:fldChar w:fldCharType="end"/>
            </w:r>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00F226C9">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266533" w:rsidRPr="00EC7286" w14:paraId="41D5C00B" w14:textId="77777777" w:rsidTr="001F0F67">
        <w:tc>
          <w:tcPr>
            <w:tcW w:w="9926" w:type="dxa"/>
            <w:shd w:val="clear" w:color="auto" w:fill="auto"/>
          </w:tcPr>
          <w:p w14:paraId="0CDA9B23" w14:textId="6F4052A4" w:rsidR="00266533" w:rsidRDefault="00CB70A4" w:rsidP="006B1C11">
            <w:pPr>
              <w:rPr>
                <w:rFonts w:ascii="Helvetica Neue" w:hAnsi="Helvetica Neue"/>
                <w:color w:val="000000" w:themeColor="text1"/>
                <w:sz w:val="22"/>
                <w:szCs w:val="22"/>
              </w:rPr>
            </w:pPr>
            <w:r>
              <w:rPr>
                <w:rFonts w:ascii="Helvetica Neue" w:hAnsi="Helvetica Neue"/>
                <w:color w:val="000000" w:themeColor="text1"/>
                <w:sz w:val="22"/>
                <w:szCs w:val="22"/>
              </w:rPr>
              <w:t>Waiting on Data</w:t>
            </w:r>
          </w:p>
          <w:p w14:paraId="6138244E" w14:textId="60D9A312" w:rsidR="00266533" w:rsidRPr="00266533" w:rsidRDefault="00266533" w:rsidP="006B1C11">
            <w:pPr>
              <w:rPr>
                <w:rFonts w:ascii="Helvetica Neue" w:hAnsi="Helvetica Neue"/>
                <w:color w:val="000000" w:themeColor="text1"/>
                <w:sz w:val="22"/>
                <w:szCs w:val="22"/>
              </w:rPr>
            </w:pPr>
          </w:p>
        </w:tc>
      </w:tr>
      <w:tr w:rsidR="00954800" w:rsidRPr="0078795C" w14:paraId="21D916EA" w14:textId="77777777" w:rsidTr="00150C86">
        <w:tc>
          <w:tcPr>
            <w:tcW w:w="9926" w:type="dxa"/>
            <w:shd w:val="clear" w:color="auto" w:fill="009193"/>
          </w:tcPr>
          <w:p w14:paraId="72041651" w14:textId="77F11ECC" w:rsidR="00954800" w:rsidRPr="0078795C" w:rsidRDefault="00CB70A4" w:rsidP="00CB70A4">
            <w:pPr>
              <w:rPr>
                <w:rFonts w:ascii="Helvetica Neue" w:hAnsi="Helvetica Neue"/>
                <w:b/>
                <w:bCs/>
                <w:color w:val="000000" w:themeColor="text1"/>
                <w:sz w:val="28"/>
                <w:szCs w:val="28"/>
                <w:u w:val="single"/>
              </w:rPr>
            </w:pPr>
            <w:hyperlink r:id="rId30">
              <w:r w:rsidR="00954800" w:rsidRPr="00E35ADB">
                <w:rPr>
                  <w:rStyle w:val="Hyperlink"/>
                  <w:rFonts w:ascii="Helvetica Neue" w:eastAsia="Avenir" w:hAnsi="Helvetica Neue" w:cs="Avenir"/>
                  <w:b/>
                  <w:bCs/>
                  <w:color w:val="FFFFFF" w:themeColor="background1"/>
                  <w:sz w:val="28"/>
                  <w:szCs w:val="28"/>
                </w:rPr>
                <w:t>Transfer Da</w:t>
              </w:r>
              <w:r w:rsidR="00954800" w:rsidRPr="00E35ADB">
                <w:rPr>
                  <w:rStyle w:val="Hyperlink"/>
                  <w:rFonts w:ascii="Helvetica Neue" w:eastAsia="Avenir" w:hAnsi="Helvetica Neue" w:cs="Avenir"/>
                  <w:b/>
                  <w:bCs/>
                  <w:color w:val="FFFFFF" w:themeColor="background1"/>
                  <w:sz w:val="28"/>
                  <w:szCs w:val="28"/>
                </w:rPr>
                <w:t>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954800" w:rsidRPr="00EC7286" w14:paraId="28C9772E" w14:textId="77777777" w:rsidTr="00FB2A0E">
        <w:tc>
          <w:tcPr>
            <w:tcW w:w="9926" w:type="dxa"/>
            <w:shd w:val="clear" w:color="auto" w:fill="E2EFD9" w:themeFill="accent6" w:themeFillTint="33"/>
          </w:tcPr>
          <w:p w14:paraId="094C3247" w14:textId="77B88CEB" w:rsidR="00FB2A0E" w:rsidRDefault="000447D9" w:rsidP="00954800">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1B3627" w:rsidRDefault="00F62A60" w:rsidP="00954800">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954800" w:rsidRPr="00266533" w:rsidRDefault="00F62A60" w:rsidP="00954800">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954800" w:rsidRPr="00EC7286" w14:paraId="1954B20D" w14:textId="77777777" w:rsidTr="001F0F67">
        <w:tc>
          <w:tcPr>
            <w:tcW w:w="9926" w:type="dxa"/>
            <w:shd w:val="clear" w:color="auto" w:fill="auto"/>
          </w:tcPr>
          <w:p w14:paraId="44DD73B2" w14:textId="090B3D69" w:rsidR="00954800" w:rsidRDefault="00B86607" w:rsidP="00954800">
            <w:pPr>
              <w:rPr>
                <w:rFonts w:ascii="Helvetica Neue" w:hAnsi="Helvetica Neue"/>
                <w:color w:val="000000" w:themeColor="text1"/>
                <w:sz w:val="22"/>
                <w:szCs w:val="22"/>
              </w:rPr>
            </w:pPr>
            <w:r>
              <w:rPr>
                <w:rFonts w:ascii="Helvetica Neue" w:hAnsi="Helvetica Neue"/>
                <w:color w:val="000000" w:themeColor="text1"/>
                <w:sz w:val="22"/>
                <w:szCs w:val="22"/>
              </w:rPr>
              <w:lastRenderedPageBreak/>
              <w:t xml:space="preserve">Fall 2023 has not been reported for acceptance to UC/CSU.  As of December 2023 </w:t>
            </w:r>
            <w:proofErr w:type="gramStart"/>
            <w:r>
              <w:rPr>
                <w:rFonts w:ascii="Helvetica Neue" w:hAnsi="Helvetica Neue"/>
                <w:color w:val="000000" w:themeColor="text1"/>
                <w:sz w:val="22"/>
                <w:szCs w:val="22"/>
              </w:rPr>
              <w:t>-  BCC</w:t>
            </w:r>
            <w:proofErr w:type="gramEnd"/>
            <w:r>
              <w:rPr>
                <w:rFonts w:ascii="Helvetica Neue" w:hAnsi="Helvetica Neue"/>
                <w:color w:val="000000" w:themeColor="text1"/>
                <w:sz w:val="22"/>
                <w:szCs w:val="22"/>
              </w:rPr>
              <w:t xml:space="preserve"> is on track to increase Transfer Rates for 22/23. There has been an active increase of Transfer Rates from 2016/2017 with the exception of the 21/22 cycle with the impact of the </w:t>
            </w:r>
            <w:proofErr w:type="spellStart"/>
            <w:r>
              <w:rPr>
                <w:rFonts w:ascii="Helvetica Neue" w:hAnsi="Helvetica Neue"/>
                <w:color w:val="000000" w:themeColor="text1"/>
                <w:sz w:val="22"/>
                <w:szCs w:val="22"/>
              </w:rPr>
              <w:t>CoVid</w:t>
            </w:r>
            <w:proofErr w:type="spellEnd"/>
            <w:r>
              <w:rPr>
                <w:rFonts w:ascii="Helvetica Neue" w:hAnsi="Helvetica Neue"/>
                <w:color w:val="000000" w:themeColor="text1"/>
                <w:sz w:val="22"/>
                <w:szCs w:val="22"/>
              </w:rPr>
              <w:t xml:space="preserve"> Pandemic contributing to the lower number.</w:t>
            </w:r>
          </w:p>
          <w:p w14:paraId="0F3FA177" w14:textId="4B5A36BA" w:rsidR="00B86607" w:rsidRDefault="00B86607" w:rsidP="00954800">
            <w:pPr>
              <w:rPr>
                <w:rFonts w:ascii="Helvetica Neue" w:hAnsi="Helvetica Neue"/>
                <w:color w:val="000000" w:themeColor="text1"/>
                <w:sz w:val="22"/>
                <w:szCs w:val="22"/>
              </w:rPr>
            </w:pPr>
            <w:r>
              <w:rPr>
                <w:rFonts w:ascii="Helvetica Neue" w:hAnsi="Helvetica Neue"/>
                <w:color w:val="000000" w:themeColor="text1"/>
                <w:sz w:val="22"/>
                <w:szCs w:val="22"/>
              </w:rPr>
              <w:t>Embedded Collaboration with Student and Academic Services, additional para professional staffing and infrastructure support would ensure that additional students could benefit from the services in the CT Center.</w:t>
            </w:r>
          </w:p>
          <w:p w14:paraId="786D6F53" w14:textId="526697E1" w:rsidR="00954800" w:rsidRPr="00266533" w:rsidRDefault="00954800" w:rsidP="00954800">
            <w:pPr>
              <w:rPr>
                <w:rFonts w:ascii="Helvetica Neue" w:hAnsi="Helvetica Neue"/>
                <w:color w:val="000000" w:themeColor="text1"/>
                <w:sz w:val="22"/>
                <w:szCs w:val="22"/>
              </w:rPr>
            </w:pPr>
          </w:p>
        </w:tc>
      </w:tr>
      <w:tr w:rsidR="00B86607" w:rsidRPr="00EC7286" w14:paraId="6E3407A5" w14:textId="77777777" w:rsidTr="001F0F67">
        <w:tc>
          <w:tcPr>
            <w:tcW w:w="9926" w:type="dxa"/>
            <w:shd w:val="clear" w:color="auto" w:fill="auto"/>
          </w:tcPr>
          <w:p w14:paraId="6BDBE6D9" w14:textId="2F36EAC2" w:rsidR="00B86607" w:rsidRDefault="00B86607" w:rsidP="00954800">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67171CB2">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67171CB2">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67171CB2">
        <w:tc>
          <w:tcPr>
            <w:tcW w:w="9926" w:type="dxa"/>
            <w:shd w:val="clear" w:color="auto" w:fill="auto"/>
          </w:tcPr>
          <w:p w14:paraId="71CCF588" w14:textId="029907E1" w:rsidR="00F62A60" w:rsidRPr="006F23C4" w:rsidRDefault="7A8D2D73" w:rsidP="00F62A60">
            <w:pPr>
              <w:spacing w:after="160" w:line="259" w:lineRule="auto"/>
              <w:rPr>
                <w:rFonts w:ascii="Helvetica Neue" w:hAnsi="Helvetica Neue"/>
                <w:color w:val="FF0000"/>
                <w:sz w:val="22"/>
                <w:szCs w:val="22"/>
              </w:rPr>
            </w:pPr>
            <w:r w:rsidRPr="67171CB2">
              <w:rPr>
                <w:rFonts w:ascii="Helvetica Neue" w:hAnsi="Helvetica Neue"/>
                <w:color w:val="FF0000"/>
                <w:sz w:val="22"/>
                <w:szCs w:val="22"/>
              </w:rPr>
              <w:t xml:space="preserve"> </w:t>
            </w:r>
            <w:r w:rsidR="00B86607">
              <w:rPr>
                <w:rFonts w:ascii="Helvetica Neue" w:hAnsi="Helvetica Neue"/>
                <w:color w:val="FF0000"/>
                <w:sz w:val="22"/>
                <w:szCs w:val="22"/>
              </w:rPr>
              <w:t>This Department will continue to support students by referring them to Academic Counseling and other support services.</w:t>
            </w: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00CB70A4">
        <w:trPr>
          <w:trHeight w:val="440"/>
        </w:trPr>
        <w:tc>
          <w:tcPr>
            <w:tcW w:w="9926" w:type="dxa"/>
            <w:shd w:val="clear" w:color="auto" w:fill="009193"/>
          </w:tcPr>
          <w:p w14:paraId="74D41C2D" w14:textId="3913D63A" w:rsidR="00F62A60" w:rsidRPr="00E35ADB" w:rsidRDefault="001B3627" w:rsidP="00CB70A4">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001F0F67">
        <w:tc>
          <w:tcPr>
            <w:tcW w:w="9926" w:type="dxa"/>
            <w:shd w:val="clear" w:color="auto" w:fill="E2EFD9" w:themeFill="accent6" w:themeFillTint="33"/>
          </w:tcPr>
          <w:p w14:paraId="13B8776D" w14:textId="71C02A44" w:rsidR="00F62A60" w:rsidRPr="00E42BC9" w:rsidRDefault="00F62A60" w:rsidP="00CB70A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14:paraId="086AE74B" w14:textId="77777777" w:rsidTr="001F0F67">
        <w:tc>
          <w:tcPr>
            <w:tcW w:w="9926" w:type="dxa"/>
            <w:shd w:val="clear" w:color="auto" w:fill="auto"/>
          </w:tcPr>
          <w:p w14:paraId="6630638F" w14:textId="77777777" w:rsidR="00F62A60" w:rsidRDefault="004C042F" w:rsidP="00CB70A4">
            <w:pPr>
              <w:spacing w:after="160" w:line="259" w:lineRule="auto"/>
              <w:rPr>
                <w:rFonts w:ascii="Helvetica Neue" w:hAnsi="Helvetica Neue"/>
                <w:color w:val="FF0000"/>
                <w:sz w:val="22"/>
                <w:szCs w:val="22"/>
              </w:rPr>
            </w:pPr>
            <w:r>
              <w:rPr>
                <w:rFonts w:ascii="Helvetica Neue" w:hAnsi="Helvetica Neue"/>
                <w:color w:val="FF0000"/>
                <w:sz w:val="22"/>
                <w:szCs w:val="22"/>
              </w:rPr>
              <w:t xml:space="preserve">Classified Staff served as the Classified Senate President from 2021-2023. In this role the Coordinator engaged with several </w:t>
            </w:r>
            <w:r w:rsidR="00797D63">
              <w:rPr>
                <w:rFonts w:ascii="Helvetica Neue" w:hAnsi="Helvetica Neue"/>
                <w:color w:val="FF0000"/>
                <w:sz w:val="22"/>
                <w:szCs w:val="22"/>
              </w:rPr>
              <w:t>governance committees including Roundtable (Tri-Chair), IPC, Educational Master Plan Collaboration, CCC Chancellor’s IEPI Grant contributor.  In my role as the Coordinator presented at Black Student Success Week and at the California Community College Chancellor’s Office Transfer Director Conference both presentation focused on developing equity programming and practices in transfer success for Disproportionally Impacted and African American Students.</w:t>
            </w:r>
          </w:p>
          <w:p w14:paraId="3C7C5237" w14:textId="1DDDEF41" w:rsidR="00797D63" w:rsidRPr="006F23C4" w:rsidRDefault="00797D63" w:rsidP="00CB70A4">
            <w:pPr>
              <w:spacing w:after="160" w:line="259" w:lineRule="auto"/>
              <w:rPr>
                <w:rFonts w:ascii="Helvetica Neue" w:hAnsi="Helvetica Neue"/>
                <w:color w:val="FF0000"/>
                <w:sz w:val="22"/>
                <w:szCs w:val="22"/>
              </w:rPr>
            </w:pPr>
          </w:p>
        </w:tc>
      </w:tr>
      <w:tr w:rsidR="00F62A60" w14:paraId="2528A16B" w14:textId="77777777" w:rsidTr="001F0F67">
        <w:tc>
          <w:tcPr>
            <w:tcW w:w="9926" w:type="dxa"/>
            <w:shd w:val="clear" w:color="auto" w:fill="E2EFD9" w:themeFill="accent6" w:themeFillTint="33"/>
          </w:tcPr>
          <w:p w14:paraId="4D9696EB" w14:textId="7F8B025B" w:rsidR="00F62A60" w:rsidRPr="006F23C4" w:rsidRDefault="00F62A60" w:rsidP="00CB70A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14:paraId="08885FB5" w14:textId="77777777" w:rsidTr="001F0F67">
        <w:tc>
          <w:tcPr>
            <w:tcW w:w="9926" w:type="dxa"/>
            <w:shd w:val="clear" w:color="auto" w:fill="auto"/>
          </w:tcPr>
          <w:p w14:paraId="22C55CDD" w14:textId="0180C12B" w:rsidR="00F62A60" w:rsidRDefault="00CB70A4" w:rsidP="00CB70A4">
            <w:pPr>
              <w:pStyle w:val="ListParagraph"/>
              <w:ind w:left="0"/>
              <w:rPr>
                <w:rFonts w:ascii="Helvetica Neue" w:hAnsi="Helvetica Neue" w:cs="Segoe UI"/>
                <w:b/>
                <w:bCs/>
              </w:rPr>
            </w:pPr>
            <w:r>
              <w:rPr>
                <w:rFonts w:ascii="Helvetica Neue" w:hAnsi="Helvetica Neue" w:cs="Segoe UI"/>
                <w:b/>
                <w:bCs/>
              </w:rPr>
              <w:t xml:space="preserve">The Center works collaboratively with Student Services, Instructional and Counseling Faculty and Administration to provide wrap around services to students from a Holistic framework. The student’s experience at BCC impacts their transfer trajectory from FA, A &amp; R, Tutoring, Course Completion, support services and representation. It is imperative that the center staff is knowledgeable about the college as a whole. Additionally the staff regularly builds impactful relationships will all BCC constituents to support student transfer success. </w:t>
            </w:r>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67171CB2">
        <w:trPr>
          <w:trHeight w:val="314"/>
          <w:jc w:val="center"/>
        </w:trPr>
        <w:tc>
          <w:tcPr>
            <w:tcW w:w="2795" w:type="dxa"/>
            <w:shd w:val="clear" w:color="auto" w:fill="009193"/>
            <w:vAlign w:val="bottom"/>
          </w:tcPr>
          <w:p w14:paraId="116DD299" w14:textId="77777777" w:rsidR="00C367CC" w:rsidRPr="00593877" w:rsidRDefault="00C367CC" w:rsidP="00CB70A4">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CB70A4">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CB70A4">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67171CB2">
        <w:trPr>
          <w:trHeight w:val="291"/>
          <w:jc w:val="center"/>
        </w:trPr>
        <w:tc>
          <w:tcPr>
            <w:tcW w:w="2795" w:type="dxa"/>
            <w:shd w:val="clear" w:color="auto" w:fill="93CBB7"/>
          </w:tcPr>
          <w:p w14:paraId="4F91EAFF" w14:textId="77777777" w:rsidR="00C367CC" w:rsidRPr="00BC7C2B" w:rsidRDefault="00C367CC" w:rsidP="00CB70A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CB70A4">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CB70A4">
            <w:pPr>
              <w:rPr>
                <w:rFonts w:ascii="Helvetica Neue" w:hAnsi="Helvetica Neue" w:cs="Segoe UI"/>
                <w:color w:val="000000" w:themeColor="text1"/>
              </w:rPr>
            </w:pPr>
          </w:p>
        </w:tc>
      </w:tr>
      <w:tr w:rsidR="00C367CC" w:rsidRPr="00EC7286" w14:paraId="5769E089" w14:textId="77777777" w:rsidTr="67171CB2">
        <w:trPr>
          <w:trHeight w:val="291"/>
          <w:jc w:val="center"/>
        </w:trPr>
        <w:tc>
          <w:tcPr>
            <w:tcW w:w="2795" w:type="dxa"/>
            <w:shd w:val="clear" w:color="auto" w:fill="auto"/>
          </w:tcPr>
          <w:p w14:paraId="2D240B99"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23E0F88C" w:rsidR="00C367CC" w:rsidRPr="00E35ADB" w:rsidRDefault="00837ADC" w:rsidP="00CB70A4">
            <w:pPr>
              <w:rPr>
                <w:rFonts w:ascii="Helvetica Neue" w:hAnsi="Helvetica Neue" w:cs="Segoe UI"/>
                <w:sz w:val="18"/>
                <w:szCs w:val="18"/>
              </w:rPr>
            </w:pPr>
            <w:r>
              <w:rPr>
                <w:rFonts w:ascii="Helvetica Neue" w:hAnsi="Helvetica Neue" w:cs="Segoe UI"/>
                <w:sz w:val="18"/>
                <w:szCs w:val="18"/>
              </w:rPr>
              <w:t>Part-time to assist with day to day administrative work more complex than what student employees are able to perform</w:t>
            </w:r>
          </w:p>
        </w:tc>
        <w:tc>
          <w:tcPr>
            <w:tcW w:w="1805" w:type="dxa"/>
            <w:shd w:val="clear" w:color="auto" w:fill="FFF2CC" w:themeFill="accent4" w:themeFillTint="33"/>
          </w:tcPr>
          <w:p w14:paraId="061B110D" w14:textId="77777777" w:rsidR="00C367CC" w:rsidRPr="00E35ADB" w:rsidRDefault="00C367CC" w:rsidP="00CB70A4">
            <w:pPr>
              <w:rPr>
                <w:rFonts w:ascii="Helvetica Neue" w:hAnsi="Helvetica Neue" w:cs="Segoe UI"/>
                <w:sz w:val="18"/>
                <w:szCs w:val="18"/>
              </w:rPr>
            </w:pPr>
          </w:p>
        </w:tc>
      </w:tr>
      <w:tr w:rsidR="00C367CC" w:rsidRPr="00EC7286" w14:paraId="75690003" w14:textId="77777777" w:rsidTr="67171CB2">
        <w:trPr>
          <w:trHeight w:val="291"/>
          <w:jc w:val="center"/>
        </w:trPr>
        <w:tc>
          <w:tcPr>
            <w:tcW w:w="2795" w:type="dxa"/>
            <w:shd w:val="clear" w:color="auto" w:fill="auto"/>
          </w:tcPr>
          <w:p w14:paraId="13D7C62F"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01433F68" w:rsidR="00C367CC" w:rsidRPr="00E35ADB" w:rsidRDefault="6AE3175A" w:rsidP="00CB70A4">
            <w:pPr>
              <w:rPr>
                <w:rFonts w:ascii="Helvetica Neue" w:hAnsi="Helvetica Neue" w:cs="Segoe UI"/>
                <w:sz w:val="18"/>
                <w:szCs w:val="18"/>
              </w:rPr>
            </w:pPr>
            <w:r w:rsidRPr="67171CB2">
              <w:rPr>
                <w:rFonts w:ascii="Helvetica Neue" w:hAnsi="Helvetica Neue" w:cs="Segoe UI"/>
                <w:sz w:val="18"/>
                <w:szCs w:val="18"/>
              </w:rPr>
              <w:t>5 student employees – The Transfer/Career Center has 1 full-time employee. For the 2022-2023 y</w:t>
            </w:r>
            <w:r w:rsidR="004D41E8">
              <w:rPr>
                <w:rFonts w:ascii="Helvetica Neue" w:hAnsi="Helvetica Neue" w:cs="Segoe UI"/>
                <w:sz w:val="18"/>
                <w:szCs w:val="18"/>
              </w:rPr>
              <w:t xml:space="preserve">ear the center served over 400 students. 1 PART-TIME </w:t>
            </w:r>
            <w:r w:rsidR="2C8EA960" w:rsidRPr="67171CB2">
              <w:rPr>
                <w:rFonts w:ascii="Helvetica Neue" w:hAnsi="Helvetica Neue" w:cs="Segoe UI"/>
                <w:sz w:val="18"/>
                <w:szCs w:val="18"/>
              </w:rPr>
              <w:t>staff is needed to further the goal</w:t>
            </w:r>
            <w:r w:rsidR="004D41E8">
              <w:rPr>
                <w:rFonts w:ascii="Helvetica Neue" w:hAnsi="Helvetica Neue" w:cs="Segoe UI"/>
                <w:sz w:val="18"/>
                <w:szCs w:val="18"/>
              </w:rPr>
              <w:t>s</w:t>
            </w:r>
            <w:r w:rsidR="2C8EA960" w:rsidRPr="67171CB2">
              <w:rPr>
                <w:rFonts w:ascii="Helvetica Neue" w:hAnsi="Helvetica Neue" w:cs="Segoe UI"/>
                <w:sz w:val="18"/>
                <w:szCs w:val="18"/>
              </w:rPr>
              <w:t xml:space="preserve"> of reaching more DI Students</w:t>
            </w:r>
          </w:p>
        </w:tc>
        <w:tc>
          <w:tcPr>
            <w:tcW w:w="1805" w:type="dxa"/>
            <w:shd w:val="clear" w:color="auto" w:fill="FFF2CC" w:themeFill="accent4" w:themeFillTint="33"/>
          </w:tcPr>
          <w:p w14:paraId="7A56F7AF" w14:textId="18196A46" w:rsidR="00C367CC" w:rsidRPr="00E35ADB" w:rsidRDefault="2C8EA960" w:rsidP="00CB70A4">
            <w:pPr>
              <w:rPr>
                <w:rFonts w:ascii="Helvetica Neue" w:hAnsi="Helvetica Neue" w:cs="Segoe UI"/>
                <w:sz w:val="18"/>
                <w:szCs w:val="18"/>
              </w:rPr>
            </w:pPr>
            <w:r w:rsidRPr="67171CB2">
              <w:rPr>
                <w:rFonts w:ascii="Helvetica Neue" w:hAnsi="Helvetica Neue" w:cs="Segoe UI"/>
                <w:sz w:val="18"/>
                <w:szCs w:val="18"/>
              </w:rPr>
              <w:t>50,000</w:t>
            </w:r>
          </w:p>
        </w:tc>
      </w:tr>
      <w:tr w:rsidR="00C367CC" w:rsidRPr="00EC7286" w14:paraId="2DB1219B" w14:textId="77777777" w:rsidTr="67171CB2">
        <w:trPr>
          <w:trHeight w:val="291"/>
          <w:jc w:val="center"/>
        </w:trPr>
        <w:tc>
          <w:tcPr>
            <w:tcW w:w="2795" w:type="dxa"/>
            <w:shd w:val="clear" w:color="auto" w:fill="auto"/>
          </w:tcPr>
          <w:p w14:paraId="583274A4"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CB70A4">
            <w:pPr>
              <w:rPr>
                <w:rFonts w:ascii="Helvetica Neue" w:hAnsi="Helvetica Neue" w:cs="Segoe UI"/>
                <w:sz w:val="18"/>
                <w:szCs w:val="18"/>
              </w:rPr>
            </w:pPr>
          </w:p>
        </w:tc>
      </w:tr>
      <w:tr w:rsidR="00C367CC" w:rsidRPr="00EC7286" w14:paraId="16875120" w14:textId="77777777" w:rsidTr="67171CB2">
        <w:trPr>
          <w:trHeight w:val="291"/>
          <w:jc w:val="center"/>
        </w:trPr>
        <w:tc>
          <w:tcPr>
            <w:tcW w:w="9900" w:type="dxa"/>
            <w:gridSpan w:val="3"/>
            <w:shd w:val="clear" w:color="auto" w:fill="93CBB7"/>
          </w:tcPr>
          <w:p w14:paraId="7F6310C5" w14:textId="77777777" w:rsidR="00C367CC" w:rsidRPr="00BC7C2B" w:rsidRDefault="00C367CC" w:rsidP="00CB70A4">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67171CB2">
        <w:trPr>
          <w:trHeight w:val="291"/>
          <w:jc w:val="center"/>
        </w:trPr>
        <w:tc>
          <w:tcPr>
            <w:tcW w:w="2795" w:type="dxa"/>
            <w:shd w:val="clear" w:color="auto" w:fill="auto"/>
          </w:tcPr>
          <w:p w14:paraId="60400054"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2DEDC7A2" w:rsidR="00C367CC" w:rsidRPr="00E35ADB" w:rsidRDefault="00B86607" w:rsidP="00CB70A4">
            <w:pPr>
              <w:rPr>
                <w:rFonts w:ascii="Helvetica Neue" w:hAnsi="Helvetica Neue" w:cs="Segoe UI"/>
                <w:sz w:val="18"/>
                <w:szCs w:val="18"/>
              </w:rPr>
            </w:pPr>
            <w:r>
              <w:rPr>
                <w:rFonts w:ascii="Helvetica Neue" w:hAnsi="Helvetica Neue" w:cs="Segoe UI"/>
                <w:sz w:val="18"/>
                <w:szCs w:val="18"/>
              </w:rPr>
              <w:t>Transfer Director Conference, Classified Professional Leadership</w:t>
            </w:r>
          </w:p>
        </w:tc>
        <w:tc>
          <w:tcPr>
            <w:tcW w:w="1805" w:type="dxa"/>
            <w:shd w:val="clear" w:color="auto" w:fill="FFF2CC" w:themeFill="accent4" w:themeFillTint="33"/>
          </w:tcPr>
          <w:p w14:paraId="10FDCDC5" w14:textId="345D1C39" w:rsidR="00C367CC" w:rsidRPr="00E35ADB" w:rsidRDefault="00CB70A4" w:rsidP="00CB70A4">
            <w:pPr>
              <w:rPr>
                <w:rFonts w:ascii="Helvetica Neue" w:hAnsi="Helvetica Neue" w:cs="Segoe UI"/>
                <w:sz w:val="18"/>
                <w:szCs w:val="18"/>
              </w:rPr>
            </w:pPr>
            <w:r>
              <w:rPr>
                <w:rFonts w:ascii="Helvetica Neue" w:hAnsi="Helvetica Neue" w:cs="Segoe UI"/>
                <w:sz w:val="18"/>
                <w:szCs w:val="18"/>
              </w:rPr>
              <w:t>8,000</w:t>
            </w:r>
          </w:p>
        </w:tc>
      </w:tr>
      <w:tr w:rsidR="00C367CC" w:rsidRPr="00EC7286" w14:paraId="48D95CAB" w14:textId="77777777" w:rsidTr="67171CB2">
        <w:trPr>
          <w:trHeight w:val="291"/>
          <w:jc w:val="center"/>
        </w:trPr>
        <w:tc>
          <w:tcPr>
            <w:tcW w:w="2795" w:type="dxa"/>
            <w:shd w:val="clear" w:color="auto" w:fill="auto"/>
          </w:tcPr>
          <w:p w14:paraId="6A65AB8D"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55C54B2A" w:rsidR="00C367CC" w:rsidRPr="00E35ADB" w:rsidRDefault="00837ADC" w:rsidP="00CB70A4">
            <w:pPr>
              <w:rPr>
                <w:rFonts w:ascii="Helvetica Neue" w:hAnsi="Helvetica Neue" w:cs="Segoe UI"/>
                <w:sz w:val="18"/>
                <w:szCs w:val="18"/>
              </w:rPr>
            </w:pPr>
            <w:r>
              <w:rPr>
                <w:rFonts w:ascii="Helvetica Neue" w:hAnsi="Helvetica Neue" w:cs="Segoe UI"/>
                <w:sz w:val="18"/>
                <w:szCs w:val="18"/>
              </w:rPr>
              <w:t xml:space="preserve"> </w:t>
            </w:r>
            <w:proofErr w:type="spellStart"/>
            <w:r w:rsidR="004D41E8">
              <w:rPr>
                <w:rFonts w:ascii="Helvetica Neue" w:hAnsi="Helvetica Neue" w:cs="Segoe UI"/>
                <w:sz w:val="18"/>
                <w:szCs w:val="18"/>
              </w:rPr>
              <w:t>Umoja</w:t>
            </w:r>
            <w:proofErr w:type="spellEnd"/>
            <w:r w:rsidR="004D41E8">
              <w:rPr>
                <w:rFonts w:ascii="Helvetica Neue" w:hAnsi="Helvetica Neue" w:cs="Segoe UI"/>
                <w:sz w:val="18"/>
                <w:szCs w:val="18"/>
              </w:rPr>
              <w:t xml:space="preserve"> Conference(Dec.) HBCU Tour (March)</w:t>
            </w:r>
            <w:r w:rsidR="00CB70A4">
              <w:rPr>
                <w:rFonts w:ascii="Helvetica Neue" w:hAnsi="Helvetica Neue" w:cs="Segoe UI"/>
                <w:sz w:val="18"/>
                <w:szCs w:val="18"/>
              </w:rPr>
              <w:t>, ANCOR</w:t>
            </w:r>
          </w:p>
        </w:tc>
        <w:tc>
          <w:tcPr>
            <w:tcW w:w="1805" w:type="dxa"/>
            <w:shd w:val="clear" w:color="auto" w:fill="FFF2CC" w:themeFill="accent4" w:themeFillTint="33"/>
          </w:tcPr>
          <w:p w14:paraId="334DC05C" w14:textId="77777777" w:rsidR="00C367CC" w:rsidRPr="00E35ADB" w:rsidRDefault="00C367CC" w:rsidP="00CB70A4">
            <w:pPr>
              <w:rPr>
                <w:rFonts w:ascii="Helvetica Neue" w:hAnsi="Helvetica Neue" w:cs="Segoe UI"/>
                <w:sz w:val="18"/>
                <w:szCs w:val="18"/>
              </w:rPr>
            </w:pPr>
          </w:p>
        </w:tc>
      </w:tr>
      <w:tr w:rsidR="00C367CC" w:rsidRPr="00EC7286" w14:paraId="7C948D19" w14:textId="77777777" w:rsidTr="67171CB2">
        <w:trPr>
          <w:trHeight w:val="291"/>
          <w:jc w:val="center"/>
        </w:trPr>
        <w:tc>
          <w:tcPr>
            <w:tcW w:w="9900" w:type="dxa"/>
            <w:gridSpan w:val="3"/>
            <w:shd w:val="clear" w:color="auto" w:fill="93CBB7"/>
          </w:tcPr>
          <w:p w14:paraId="55C4DE64" w14:textId="77777777" w:rsidR="00C367CC" w:rsidRPr="00BC7C2B" w:rsidRDefault="00C367CC" w:rsidP="00CB70A4">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67171CB2">
        <w:trPr>
          <w:trHeight w:val="291"/>
          <w:jc w:val="center"/>
        </w:trPr>
        <w:tc>
          <w:tcPr>
            <w:tcW w:w="2795" w:type="dxa"/>
            <w:shd w:val="clear" w:color="auto" w:fill="auto"/>
          </w:tcPr>
          <w:p w14:paraId="69F5F210" w14:textId="77777777" w:rsidR="00C367CC" w:rsidRPr="00E35ADB" w:rsidRDefault="00C367CC" w:rsidP="00CB70A4">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6BDFE734" w:rsidR="00C367CC" w:rsidRPr="009560EE" w:rsidRDefault="00B86607" w:rsidP="00CB70A4">
            <w:pPr>
              <w:rPr>
                <w:rFonts w:ascii="Helvetica Neue" w:hAnsi="Helvetica Neue" w:cs="Segoe UI"/>
                <w:sz w:val="20"/>
                <w:szCs w:val="20"/>
              </w:rPr>
            </w:pPr>
            <w:r w:rsidRPr="67171CB2">
              <w:rPr>
                <w:rFonts w:ascii="Helvetica Neue" w:hAnsi="Helvetica Neue" w:cs="Segoe UI"/>
                <w:sz w:val="20"/>
                <w:szCs w:val="20"/>
              </w:rPr>
              <w:t>Focus II – Career and Academic Platform</w:t>
            </w:r>
          </w:p>
        </w:tc>
        <w:tc>
          <w:tcPr>
            <w:tcW w:w="1805" w:type="dxa"/>
            <w:shd w:val="clear" w:color="auto" w:fill="FFF2CC" w:themeFill="accent4" w:themeFillTint="33"/>
          </w:tcPr>
          <w:p w14:paraId="0AE50E45" w14:textId="4F214B1F" w:rsidR="00C367CC" w:rsidRPr="009560EE" w:rsidRDefault="004D41E8" w:rsidP="00CB70A4">
            <w:pPr>
              <w:rPr>
                <w:rFonts w:ascii="Helvetica Neue" w:hAnsi="Helvetica Neue" w:cs="Segoe UI"/>
                <w:sz w:val="20"/>
                <w:szCs w:val="20"/>
              </w:rPr>
            </w:pPr>
            <w:r>
              <w:rPr>
                <w:rFonts w:ascii="Helvetica Neue" w:hAnsi="Helvetica Neue" w:cs="Segoe UI"/>
                <w:sz w:val="20"/>
                <w:szCs w:val="20"/>
              </w:rPr>
              <w:t>1600.00</w:t>
            </w:r>
          </w:p>
        </w:tc>
      </w:tr>
      <w:tr w:rsidR="00C367CC" w:rsidRPr="00EC7286" w14:paraId="7229E1A5" w14:textId="77777777" w:rsidTr="67171CB2">
        <w:trPr>
          <w:trHeight w:val="291"/>
          <w:jc w:val="center"/>
        </w:trPr>
        <w:tc>
          <w:tcPr>
            <w:tcW w:w="2795" w:type="dxa"/>
            <w:shd w:val="clear" w:color="auto" w:fill="auto"/>
          </w:tcPr>
          <w:p w14:paraId="78838DAA"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CB70A4">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CB70A4">
            <w:pPr>
              <w:rPr>
                <w:rFonts w:ascii="Helvetica Neue" w:hAnsi="Helvetica Neue" w:cs="Segoe UI"/>
                <w:sz w:val="20"/>
                <w:szCs w:val="20"/>
              </w:rPr>
            </w:pPr>
          </w:p>
        </w:tc>
      </w:tr>
      <w:tr w:rsidR="00C367CC" w:rsidRPr="00EC7286" w14:paraId="0589205F" w14:textId="77777777" w:rsidTr="67171CB2">
        <w:trPr>
          <w:trHeight w:val="291"/>
          <w:jc w:val="center"/>
        </w:trPr>
        <w:tc>
          <w:tcPr>
            <w:tcW w:w="2795" w:type="dxa"/>
            <w:shd w:val="clear" w:color="auto" w:fill="auto"/>
          </w:tcPr>
          <w:p w14:paraId="4BC26B01"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CB70A4">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CB70A4">
            <w:pPr>
              <w:rPr>
                <w:rFonts w:ascii="Helvetica Neue" w:hAnsi="Helvetica Neue" w:cs="Segoe UI"/>
                <w:sz w:val="20"/>
                <w:szCs w:val="20"/>
              </w:rPr>
            </w:pPr>
          </w:p>
        </w:tc>
      </w:tr>
      <w:tr w:rsidR="00C367CC" w:rsidRPr="00EC7286" w14:paraId="0E5490ED" w14:textId="77777777" w:rsidTr="67171CB2">
        <w:trPr>
          <w:trHeight w:val="291"/>
          <w:jc w:val="center"/>
        </w:trPr>
        <w:tc>
          <w:tcPr>
            <w:tcW w:w="2795" w:type="dxa"/>
            <w:shd w:val="clear" w:color="auto" w:fill="auto"/>
          </w:tcPr>
          <w:p w14:paraId="78AB7D54"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12763DBB" w:rsidR="00C367CC" w:rsidRPr="009560EE" w:rsidRDefault="00B86607" w:rsidP="00CB70A4">
            <w:pPr>
              <w:rPr>
                <w:rFonts w:ascii="Helvetica Neue" w:hAnsi="Helvetica Neue" w:cs="Segoe UI"/>
                <w:sz w:val="20"/>
                <w:szCs w:val="20"/>
              </w:rPr>
            </w:pPr>
            <w:r>
              <w:rPr>
                <w:rFonts w:ascii="Helvetica Neue" w:hAnsi="Helvetica Neue" w:cs="Segoe UI"/>
                <w:sz w:val="20"/>
                <w:szCs w:val="20"/>
              </w:rPr>
              <w:t xml:space="preserve"> </w:t>
            </w:r>
            <w:r w:rsidR="00837ADC">
              <w:rPr>
                <w:rFonts w:ascii="Helvetica Neue" w:hAnsi="Helvetica Neue" w:cs="Segoe UI"/>
                <w:sz w:val="20"/>
                <w:szCs w:val="20"/>
              </w:rPr>
              <w:t>Office Supplies, Merchandise</w:t>
            </w:r>
            <w:r w:rsidR="004D41E8">
              <w:rPr>
                <w:rFonts w:ascii="Helvetica Neue" w:hAnsi="Helvetica Neue" w:cs="Segoe UI"/>
                <w:sz w:val="20"/>
                <w:szCs w:val="20"/>
              </w:rPr>
              <w:t xml:space="preserve">, TRANSFER FAIR </w:t>
            </w:r>
          </w:p>
        </w:tc>
        <w:tc>
          <w:tcPr>
            <w:tcW w:w="1805" w:type="dxa"/>
            <w:shd w:val="clear" w:color="auto" w:fill="FFF2CC" w:themeFill="accent4" w:themeFillTint="33"/>
          </w:tcPr>
          <w:p w14:paraId="5A1C64D1" w14:textId="50D22CEB" w:rsidR="00C367CC" w:rsidRPr="009560EE" w:rsidRDefault="004D41E8" w:rsidP="00CB70A4">
            <w:pPr>
              <w:rPr>
                <w:rFonts w:ascii="Helvetica Neue" w:hAnsi="Helvetica Neue" w:cs="Segoe UI"/>
                <w:sz w:val="20"/>
                <w:szCs w:val="20"/>
              </w:rPr>
            </w:pPr>
            <w:r>
              <w:rPr>
                <w:rFonts w:ascii="Helvetica Neue" w:hAnsi="Helvetica Neue" w:cs="Segoe UI"/>
                <w:sz w:val="20"/>
                <w:szCs w:val="20"/>
              </w:rPr>
              <w:t>5,000</w:t>
            </w:r>
          </w:p>
        </w:tc>
      </w:tr>
      <w:tr w:rsidR="00C367CC" w:rsidRPr="00EC7286" w14:paraId="137498DD" w14:textId="77777777" w:rsidTr="67171CB2">
        <w:trPr>
          <w:trHeight w:val="291"/>
          <w:jc w:val="center"/>
        </w:trPr>
        <w:tc>
          <w:tcPr>
            <w:tcW w:w="9900" w:type="dxa"/>
            <w:gridSpan w:val="3"/>
            <w:shd w:val="clear" w:color="auto" w:fill="93CBB7"/>
            <w:vAlign w:val="bottom"/>
          </w:tcPr>
          <w:p w14:paraId="5D489642" w14:textId="77777777" w:rsidR="00C367CC" w:rsidRDefault="00C367CC" w:rsidP="00CB70A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CB70A4">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67171CB2">
        <w:tblPrEx>
          <w:jc w:val="left"/>
        </w:tblPrEx>
        <w:trPr>
          <w:trHeight w:val="291"/>
        </w:trPr>
        <w:tc>
          <w:tcPr>
            <w:tcW w:w="2795" w:type="dxa"/>
          </w:tcPr>
          <w:p w14:paraId="7B192136"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3FA8BBC8" w:rsidR="00C367CC" w:rsidRPr="00E35ADB" w:rsidRDefault="00C367CC" w:rsidP="00CB70A4">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CB70A4">
            <w:pPr>
              <w:rPr>
                <w:rFonts w:ascii="Helvetica Neue" w:hAnsi="Helvetica Neue" w:cs="Segoe UI"/>
                <w:sz w:val="18"/>
                <w:szCs w:val="18"/>
              </w:rPr>
            </w:pPr>
          </w:p>
        </w:tc>
      </w:tr>
      <w:tr w:rsidR="00C367CC" w:rsidRPr="00EC7286" w14:paraId="5811D73D" w14:textId="77777777" w:rsidTr="67171CB2">
        <w:tblPrEx>
          <w:jc w:val="left"/>
        </w:tblPrEx>
        <w:trPr>
          <w:trHeight w:val="291"/>
        </w:trPr>
        <w:tc>
          <w:tcPr>
            <w:tcW w:w="2795" w:type="dxa"/>
          </w:tcPr>
          <w:p w14:paraId="1D807849"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389241F2"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CB70A4">
            <w:pPr>
              <w:rPr>
                <w:rFonts w:ascii="Helvetica Neue" w:hAnsi="Helvetica Neue" w:cs="Segoe UI"/>
                <w:sz w:val="18"/>
                <w:szCs w:val="18"/>
              </w:rPr>
            </w:pPr>
          </w:p>
        </w:tc>
      </w:tr>
      <w:tr w:rsidR="00C367CC" w:rsidRPr="00EC7286" w14:paraId="7291A59E" w14:textId="77777777" w:rsidTr="67171CB2">
        <w:tblPrEx>
          <w:jc w:val="left"/>
        </w:tblPrEx>
        <w:trPr>
          <w:trHeight w:val="291"/>
        </w:trPr>
        <w:tc>
          <w:tcPr>
            <w:tcW w:w="9900" w:type="dxa"/>
            <w:gridSpan w:val="3"/>
            <w:shd w:val="clear" w:color="auto" w:fill="93CBB7"/>
          </w:tcPr>
          <w:p w14:paraId="3F7B26F0" w14:textId="77777777" w:rsidR="00C367CC" w:rsidRPr="00BC7C2B" w:rsidRDefault="00C367CC" w:rsidP="00CB70A4">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67171CB2">
        <w:tblPrEx>
          <w:jc w:val="left"/>
        </w:tblPrEx>
        <w:trPr>
          <w:trHeight w:val="291"/>
        </w:trPr>
        <w:tc>
          <w:tcPr>
            <w:tcW w:w="2795" w:type="dxa"/>
          </w:tcPr>
          <w:p w14:paraId="588B95D5"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CB70A4">
            <w:pPr>
              <w:rPr>
                <w:rFonts w:ascii="Helvetica Neue" w:hAnsi="Helvetica Neue" w:cs="Segoe UI"/>
                <w:sz w:val="18"/>
                <w:szCs w:val="18"/>
              </w:rPr>
            </w:pPr>
          </w:p>
        </w:tc>
      </w:tr>
      <w:tr w:rsidR="00C367CC" w:rsidRPr="00EC7286" w14:paraId="3C23B0DD" w14:textId="77777777" w:rsidTr="67171CB2">
        <w:tblPrEx>
          <w:jc w:val="left"/>
        </w:tblPrEx>
        <w:trPr>
          <w:trHeight w:val="291"/>
        </w:trPr>
        <w:tc>
          <w:tcPr>
            <w:tcW w:w="2795" w:type="dxa"/>
          </w:tcPr>
          <w:p w14:paraId="267CB267"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CB70A4">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CB70A4">
            <w:pPr>
              <w:rPr>
                <w:rFonts w:ascii="Helvetica Neue" w:hAnsi="Helvetica Neue" w:cs="Segoe UI"/>
                <w:strike/>
                <w:sz w:val="18"/>
                <w:szCs w:val="18"/>
              </w:rPr>
            </w:pPr>
          </w:p>
        </w:tc>
      </w:tr>
      <w:tr w:rsidR="00C367CC" w:rsidRPr="00EC7286" w14:paraId="159F2168" w14:textId="77777777" w:rsidTr="67171CB2">
        <w:tblPrEx>
          <w:jc w:val="left"/>
        </w:tblPrEx>
        <w:trPr>
          <w:trHeight w:val="291"/>
        </w:trPr>
        <w:tc>
          <w:tcPr>
            <w:tcW w:w="2795" w:type="dxa"/>
          </w:tcPr>
          <w:p w14:paraId="4044ECFF"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CB70A4">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CB70A4">
            <w:pPr>
              <w:rPr>
                <w:rFonts w:ascii="Helvetica Neue" w:hAnsi="Helvetica Neue" w:cs="Segoe UI"/>
                <w:strike/>
                <w:sz w:val="18"/>
                <w:szCs w:val="18"/>
              </w:rPr>
            </w:pPr>
          </w:p>
        </w:tc>
      </w:tr>
      <w:tr w:rsidR="00C367CC" w:rsidRPr="00EC7286" w14:paraId="2580503D" w14:textId="77777777" w:rsidTr="67171CB2">
        <w:tblPrEx>
          <w:jc w:val="left"/>
        </w:tblPrEx>
        <w:trPr>
          <w:trHeight w:val="291"/>
        </w:trPr>
        <w:tc>
          <w:tcPr>
            <w:tcW w:w="2795" w:type="dxa"/>
          </w:tcPr>
          <w:p w14:paraId="14D15FE3"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CB70A4">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CB70A4">
            <w:pPr>
              <w:rPr>
                <w:rFonts w:ascii="Helvetica Neue" w:hAnsi="Helvetica Neue" w:cs="Segoe UI"/>
                <w:strike/>
                <w:sz w:val="18"/>
                <w:szCs w:val="18"/>
              </w:rPr>
            </w:pPr>
          </w:p>
        </w:tc>
      </w:tr>
      <w:tr w:rsidR="00C367CC" w:rsidRPr="00EC7286" w14:paraId="0E2BDA1D" w14:textId="77777777" w:rsidTr="67171CB2">
        <w:tblPrEx>
          <w:jc w:val="left"/>
        </w:tblPrEx>
        <w:trPr>
          <w:trHeight w:val="291"/>
        </w:trPr>
        <w:tc>
          <w:tcPr>
            <w:tcW w:w="9900" w:type="dxa"/>
            <w:gridSpan w:val="3"/>
            <w:shd w:val="clear" w:color="auto" w:fill="93CBB7"/>
          </w:tcPr>
          <w:p w14:paraId="4692F0C7" w14:textId="77777777" w:rsidR="00C367CC" w:rsidRPr="00BC7C2B" w:rsidRDefault="00C367CC" w:rsidP="00CB70A4">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67171CB2">
        <w:tblPrEx>
          <w:jc w:val="left"/>
        </w:tblPrEx>
        <w:trPr>
          <w:trHeight w:val="291"/>
        </w:trPr>
        <w:tc>
          <w:tcPr>
            <w:tcW w:w="2795" w:type="dxa"/>
          </w:tcPr>
          <w:p w14:paraId="435B3984"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CB70A4">
            <w:pPr>
              <w:rPr>
                <w:rFonts w:ascii="Helvetica Neue" w:hAnsi="Helvetica Neue" w:cs="Segoe UI"/>
                <w:sz w:val="18"/>
                <w:szCs w:val="18"/>
              </w:rPr>
            </w:pPr>
          </w:p>
        </w:tc>
      </w:tr>
      <w:tr w:rsidR="00C367CC" w:rsidRPr="00EC7286" w14:paraId="6D62A943" w14:textId="77777777" w:rsidTr="67171CB2">
        <w:tblPrEx>
          <w:jc w:val="left"/>
        </w:tblPrEx>
        <w:trPr>
          <w:trHeight w:val="291"/>
        </w:trPr>
        <w:tc>
          <w:tcPr>
            <w:tcW w:w="2795" w:type="dxa"/>
          </w:tcPr>
          <w:p w14:paraId="4FF2AA02"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CB70A4">
            <w:pPr>
              <w:rPr>
                <w:rFonts w:ascii="Helvetica Neue" w:hAnsi="Helvetica Neue" w:cs="Segoe UI"/>
                <w:sz w:val="18"/>
                <w:szCs w:val="18"/>
              </w:rPr>
            </w:pPr>
          </w:p>
        </w:tc>
      </w:tr>
      <w:tr w:rsidR="00C367CC" w:rsidRPr="00EC7286" w14:paraId="47D60D82" w14:textId="77777777" w:rsidTr="67171CB2">
        <w:tblPrEx>
          <w:jc w:val="left"/>
        </w:tblPrEx>
        <w:trPr>
          <w:trHeight w:val="291"/>
        </w:trPr>
        <w:tc>
          <w:tcPr>
            <w:tcW w:w="2795" w:type="dxa"/>
          </w:tcPr>
          <w:p w14:paraId="7D047070"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CB70A4">
            <w:pPr>
              <w:rPr>
                <w:rFonts w:ascii="Helvetica Neue" w:hAnsi="Helvetica Neue" w:cs="Segoe UI"/>
                <w:sz w:val="18"/>
                <w:szCs w:val="18"/>
              </w:rPr>
            </w:pPr>
          </w:p>
        </w:tc>
      </w:tr>
      <w:tr w:rsidR="00C367CC" w:rsidRPr="00EC7286" w14:paraId="4A7056F2" w14:textId="77777777" w:rsidTr="67171CB2">
        <w:tblPrEx>
          <w:jc w:val="left"/>
        </w:tblPrEx>
        <w:trPr>
          <w:trHeight w:val="291"/>
        </w:trPr>
        <w:tc>
          <w:tcPr>
            <w:tcW w:w="2795" w:type="dxa"/>
            <w:shd w:val="clear" w:color="auto" w:fill="93CBB7"/>
          </w:tcPr>
          <w:p w14:paraId="79D11EB2" w14:textId="77777777" w:rsidR="00C367CC" w:rsidRPr="00BC7C2B" w:rsidRDefault="00C367CC" w:rsidP="00CB70A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CB70A4">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CB70A4">
            <w:pPr>
              <w:rPr>
                <w:rFonts w:ascii="Helvetica Neue" w:hAnsi="Helvetica Neue" w:cs="Segoe UI"/>
                <w:color w:val="000000" w:themeColor="text1"/>
              </w:rPr>
            </w:pPr>
          </w:p>
        </w:tc>
      </w:tr>
      <w:tr w:rsidR="00C367CC" w:rsidRPr="00EC7286" w14:paraId="348588BB" w14:textId="77777777" w:rsidTr="67171CB2">
        <w:tblPrEx>
          <w:jc w:val="left"/>
        </w:tblPrEx>
        <w:trPr>
          <w:trHeight w:val="291"/>
        </w:trPr>
        <w:tc>
          <w:tcPr>
            <w:tcW w:w="2795" w:type="dxa"/>
          </w:tcPr>
          <w:p w14:paraId="52C4657E" w14:textId="77777777" w:rsidR="00C367CC" w:rsidRPr="00E35ADB" w:rsidRDefault="00C367CC" w:rsidP="00CB70A4">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CB70A4">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CB70A4">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2"/>
      <w:footerReference w:type="default" r:id="rId3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B1503" w14:textId="77777777" w:rsidR="002F3D7A" w:rsidRDefault="002F3D7A" w:rsidP="000A0E4A">
      <w:r>
        <w:separator/>
      </w:r>
    </w:p>
  </w:endnote>
  <w:endnote w:type="continuationSeparator" w:id="0">
    <w:p w14:paraId="56B6A295" w14:textId="77777777" w:rsidR="002F3D7A" w:rsidRDefault="002F3D7A" w:rsidP="000A0E4A">
      <w:r>
        <w:continuationSeparator/>
      </w:r>
    </w:p>
  </w:endnote>
  <w:endnote w:type="continuationNotice" w:id="1">
    <w:p w14:paraId="7997FBE6" w14:textId="77777777" w:rsidR="002F3D7A" w:rsidRDefault="002F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CONDENSED">
    <w:altName w:val="Bernard MT Condensed"/>
    <w:charset w:val="00"/>
    <w:family w:val="auto"/>
    <w:pitch w:val="variable"/>
    <w:sig w:usb0="00000003" w:usb1="5000205A"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78DE9EA0" w:rsidR="00CB70A4" w:rsidRPr="00241D3A" w:rsidRDefault="00CB70A4"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3</w:t>
    </w:r>
    <w:r w:rsidRPr="00241D3A">
      <w:rPr>
        <w:rFonts w:ascii="Avenir Book" w:hAnsi="Avenir Book"/>
        <w:sz w:val="16"/>
        <w:szCs w:val="16"/>
      </w:rPr>
      <w:t>-2</w:t>
    </w:r>
    <w:r>
      <w:rPr>
        <w:rFonts w:ascii="Avenir Book" w:hAnsi="Avenir Book"/>
        <w:sz w:val="16"/>
        <w:szCs w:val="16"/>
      </w:rPr>
      <w:t>4</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4A1985">
          <w:rPr>
            <w:rFonts w:ascii="Avenir Book" w:hAnsi="Avenir Book"/>
            <w:noProof/>
            <w:sz w:val="16"/>
            <w:szCs w:val="16"/>
          </w:rPr>
          <w:t>9</w:t>
        </w:r>
        <w:r w:rsidRPr="00241D3A">
          <w:rPr>
            <w:rFonts w:ascii="Avenir Book" w:hAnsi="Avenir Book"/>
            <w:noProof/>
            <w:sz w:val="16"/>
            <w:szCs w:val="16"/>
          </w:rPr>
          <w:fldChar w:fldCharType="end"/>
        </w:r>
      </w:sdtContent>
    </w:sdt>
  </w:p>
  <w:p w14:paraId="26350136" w14:textId="77777777" w:rsidR="00CB70A4" w:rsidRDefault="00CB70A4"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405B" w14:textId="77777777" w:rsidR="002F3D7A" w:rsidRDefault="002F3D7A" w:rsidP="000A0E4A">
      <w:r>
        <w:separator/>
      </w:r>
    </w:p>
  </w:footnote>
  <w:footnote w:type="continuationSeparator" w:id="0">
    <w:p w14:paraId="42B44BA8" w14:textId="77777777" w:rsidR="002F3D7A" w:rsidRDefault="002F3D7A" w:rsidP="000A0E4A">
      <w:r>
        <w:continuationSeparator/>
      </w:r>
    </w:p>
  </w:footnote>
  <w:footnote w:type="continuationNotice" w:id="1">
    <w:p w14:paraId="0D09CB1A" w14:textId="77777777" w:rsidR="002F3D7A" w:rsidRDefault="002F3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569DF0DF" w:rsidR="00CB70A4" w:rsidRPr="007638AD" w:rsidRDefault="00CB70A4"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2023-2024 Annual Program Update</w:t>
    </w:r>
  </w:p>
  <w:p w14:paraId="2762A754" w14:textId="4317AE98" w:rsidR="00CB70A4" w:rsidRPr="007638AD" w:rsidRDefault="00CB70A4"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 SERVICES</w:t>
    </w:r>
  </w:p>
  <w:p w14:paraId="7267D316" w14:textId="77777777" w:rsidR="00CB70A4" w:rsidRDefault="00CB7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
  </w:num>
  <w:num w:numId="3">
    <w:abstractNumId w:val="37"/>
  </w:num>
  <w:num w:numId="4">
    <w:abstractNumId w:val="24"/>
  </w:num>
  <w:num w:numId="5">
    <w:abstractNumId w:val="35"/>
  </w:num>
  <w:num w:numId="6">
    <w:abstractNumId w:val="9"/>
  </w:num>
  <w:num w:numId="7">
    <w:abstractNumId w:val="27"/>
  </w:num>
  <w:num w:numId="8">
    <w:abstractNumId w:val="38"/>
  </w:num>
  <w:num w:numId="9">
    <w:abstractNumId w:val="5"/>
  </w:num>
  <w:num w:numId="10">
    <w:abstractNumId w:val="39"/>
  </w:num>
  <w:num w:numId="11">
    <w:abstractNumId w:val="32"/>
  </w:num>
  <w:num w:numId="12">
    <w:abstractNumId w:val="31"/>
  </w:num>
  <w:num w:numId="13">
    <w:abstractNumId w:val="41"/>
  </w:num>
  <w:num w:numId="14">
    <w:abstractNumId w:val="10"/>
  </w:num>
  <w:num w:numId="15">
    <w:abstractNumId w:val="30"/>
  </w:num>
  <w:num w:numId="16">
    <w:abstractNumId w:val="7"/>
  </w:num>
  <w:num w:numId="17">
    <w:abstractNumId w:val="3"/>
  </w:num>
  <w:num w:numId="18">
    <w:abstractNumId w:val="14"/>
  </w:num>
  <w:num w:numId="19">
    <w:abstractNumId w:val="33"/>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4"/>
  </w:num>
  <w:num w:numId="33">
    <w:abstractNumId w:val="6"/>
  </w:num>
  <w:num w:numId="34">
    <w:abstractNumId w:val="25"/>
  </w:num>
  <w:num w:numId="35">
    <w:abstractNumId w:val="23"/>
  </w:num>
  <w:num w:numId="36">
    <w:abstractNumId w:val="36"/>
  </w:num>
  <w:num w:numId="37">
    <w:abstractNumId w:val="13"/>
  </w:num>
  <w:num w:numId="38">
    <w:abstractNumId w:val="8"/>
  </w:num>
  <w:num w:numId="39">
    <w:abstractNumId w:val="19"/>
  </w:num>
  <w:num w:numId="40">
    <w:abstractNumId w:val="1"/>
  </w:num>
  <w:num w:numId="41">
    <w:abstractNumId w:val="2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09A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3D7A"/>
    <w:rsid w:val="002F76E6"/>
    <w:rsid w:val="003016DE"/>
    <w:rsid w:val="00306ACA"/>
    <w:rsid w:val="00311E8A"/>
    <w:rsid w:val="00312A82"/>
    <w:rsid w:val="00316D15"/>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1985"/>
    <w:rsid w:val="004A25AB"/>
    <w:rsid w:val="004A694A"/>
    <w:rsid w:val="004C042F"/>
    <w:rsid w:val="004C067C"/>
    <w:rsid w:val="004C2538"/>
    <w:rsid w:val="004C5FDF"/>
    <w:rsid w:val="004D41E8"/>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C5439"/>
    <w:rsid w:val="005C66CE"/>
    <w:rsid w:val="005D3CBC"/>
    <w:rsid w:val="005D4A63"/>
    <w:rsid w:val="005D73CB"/>
    <w:rsid w:val="005E3289"/>
    <w:rsid w:val="005F790C"/>
    <w:rsid w:val="006064E4"/>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943EA"/>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97D63"/>
    <w:rsid w:val="007A3E38"/>
    <w:rsid w:val="007B1651"/>
    <w:rsid w:val="007B3DF6"/>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37ADC"/>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560D1"/>
    <w:rsid w:val="00B656F3"/>
    <w:rsid w:val="00B714AF"/>
    <w:rsid w:val="00B741EF"/>
    <w:rsid w:val="00B74E1E"/>
    <w:rsid w:val="00B81621"/>
    <w:rsid w:val="00B816A9"/>
    <w:rsid w:val="00B86607"/>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0A4"/>
    <w:rsid w:val="00CB73C0"/>
    <w:rsid w:val="00CB744B"/>
    <w:rsid w:val="00CC0632"/>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3F64"/>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0FF0D8F"/>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AEAB51"/>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609BB4"/>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5D91E6"/>
    <w:rsid w:val="25C1D8EC"/>
    <w:rsid w:val="260CCA88"/>
    <w:rsid w:val="262BBB38"/>
    <w:rsid w:val="268F8E14"/>
    <w:rsid w:val="28E7BAB0"/>
    <w:rsid w:val="292CCE8D"/>
    <w:rsid w:val="29946940"/>
    <w:rsid w:val="29D72E2C"/>
    <w:rsid w:val="2A04E83B"/>
    <w:rsid w:val="2A9EE2FB"/>
    <w:rsid w:val="2AF73ED5"/>
    <w:rsid w:val="2B19A152"/>
    <w:rsid w:val="2B1EACD0"/>
    <w:rsid w:val="2B691C5D"/>
    <w:rsid w:val="2B6A6C1E"/>
    <w:rsid w:val="2B74E1CF"/>
    <w:rsid w:val="2BBB01F4"/>
    <w:rsid w:val="2C1A6712"/>
    <w:rsid w:val="2C7D800E"/>
    <w:rsid w:val="2C8EA960"/>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3FB7806"/>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90166"/>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51C20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7171CB2"/>
    <w:rsid w:val="680A0FF7"/>
    <w:rsid w:val="681511A0"/>
    <w:rsid w:val="68227C62"/>
    <w:rsid w:val="687CB4CF"/>
    <w:rsid w:val="68D5FEC0"/>
    <w:rsid w:val="69126F0B"/>
    <w:rsid w:val="6965B95C"/>
    <w:rsid w:val="6A25BAFD"/>
    <w:rsid w:val="6A7B4D75"/>
    <w:rsid w:val="6AE3175A"/>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D2D73"/>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0025740">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forms.gle/vMbkjZ6CSCTRYzE28"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drive.google.com/file/d/1CelN9o5mrlTVVx3ibqDDdj11PcATAjfM/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drive.google.com/file/d/14FnMslW2ebA23iZl8NlAzk_2OjjGeOu8/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0" Type="http://schemas.openxmlformats.org/officeDocument/2006/relationships/hyperlink" Target="https://app.powerbi.com/view?r=eyJrIjoiZmJlODJiODktZjM0OC00ZWIwLWIzNDMtN2Y1Yzc3ZGFhNGRhIiwidCI6ImVlYTE2YTE2LTQ4YWYtNDc3Yi05MTEzLTA1YjFjMDExMjNmZiIsImMiOjZ9"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AAE219F4-81B4-4CD2-84EC-ED34DCA479B1}"/>
</file>

<file path=docProps/app.xml><?xml version="1.0" encoding="utf-8"?>
<Properties xmlns="http://schemas.openxmlformats.org/officeDocument/2006/extended-properties" xmlns:vt="http://schemas.openxmlformats.org/officeDocument/2006/docPropsVTypes">
  <Template>Normal.dotm</Template>
  <TotalTime>5</TotalTime>
  <Pages>9</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Andrea M. Williams</cp:lastModifiedBy>
  <cp:revision>3</cp:revision>
  <cp:lastPrinted>2022-10-21T16:59:00Z</cp:lastPrinted>
  <dcterms:created xsi:type="dcterms:W3CDTF">2023-12-08T20:03:00Z</dcterms:created>
  <dcterms:modified xsi:type="dcterms:W3CDTF">2023-12-08T20:07:00Z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