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63410" w14:textId="77777777" w:rsidR="0063020F" w:rsidRDefault="00A671CE">
      <w:pPr>
        <w:pStyle w:val="Heading1"/>
        <w:rPr>
          <w:rFonts w:eastAsia="Times New Roman"/>
        </w:rPr>
      </w:pPr>
      <w:r>
        <w:rPr>
          <w:rFonts w:eastAsia="Times New Roman"/>
        </w:rPr>
        <w:t xml:space="preserve">B.A.R. </w:t>
      </w:r>
    </w:p>
    <w:p w14:paraId="33D7F4AD" w14:textId="77777777" w:rsidR="0063020F" w:rsidRDefault="00A671CE">
      <w:pPr>
        <w:pStyle w:val="z-TopofForm"/>
      </w:pPr>
      <w: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8"/>
        <w:gridCol w:w="3068"/>
        <w:gridCol w:w="3068"/>
        <w:gridCol w:w="3069"/>
        <w:gridCol w:w="3069"/>
        <w:gridCol w:w="558"/>
      </w:tblGrid>
      <w:tr w:rsidR="0063020F" w14:paraId="7FA427C4" w14:textId="77777777" w:rsidTr="00A671CE">
        <w:trPr>
          <w:tblHeade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D2576B" w14:textId="77777777" w:rsidR="0063020F" w:rsidRDefault="0063020F">
            <w:pPr>
              <w:jc w:val="center"/>
              <w:rPr>
                <w:rFonts w:ascii="Verdana" w:eastAsia="Times New Roman" w:hAnsi="Verdana" w:cs="Times New Roman"/>
                <w:b/>
                <w:bCs/>
              </w:rPr>
            </w:pPr>
          </w:p>
        </w:tc>
        <w:tc>
          <w:tcPr>
            <w:tcW w:w="125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67098DF" w14:textId="77777777" w:rsidR="0063020F" w:rsidRDefault="00A671CE">
            <w:pPr>
              <w:jc w:val="center"/>
              <w:rPr>
                <w:rFonts w:ascii="Verdana" w:eastAsia="Times New Roman" w:hAnsi="Verdana" w:cs="Times New Roman"/>
                <w:b/>
                <w:bCs/>
              </w:rPr>
            </w:pPr>
            <w:r>
              <w:rPr>
                <w:rFonts w:ascii="Verdana" w:eastAsia="Times New Roman" w:hAnsi="Verdana" w:cs="Times New Roman"/>
                <w:b/>
                <w:bCs/>
              </w:rPr>
              <w:t xml:space="preserve">Exemplary </w:t>
            </w:r>
          </w:p>
        </w:tc>
        <w:tc>
          <w:tcPr>
            <w:tcW w:w="125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8A581F3" w14:textId="77777777" w:rsidR="0063020F" w:rsidRDefault="00A671CE">
            <w:pPr>
              <w:jc w:val="center"/>
              <w:rPr>
                <w:rFonts w:ascii="Verdana" w:eastAsia="Times New Roman" w:hAnsi="Verdana" w:cs="Times New Roman"/>
                <w:b/>
                <w:bCs/>
              </w:rPr>
            </w:pPr>
            <w:r>
              <w:rPr>
                <w:rFonts w:ascii="Verdana" w:eastAsia="Times New Roman" w:hAnsi="Verdana" w:cs="Times New Roman"/>
                <w:b/>
                <w:bCs/>
              </w:rPr>
              <w:t xml:space="preserve">Competent </w:t>
            </w:r>
          </w:p>
        </w:tc>
        <w:tc>
          <w:tcPr>
            <w:tcW w:w="125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0770013" w14:textId="77777777" w:rsidR="0063020F" w:rsidRDefault="00A671CE">
            <w:pPr>
              <w:jc w:val="center"/>
              <w:rPr>
                <w:rFonts w:ascii="Verdana" w:eastAsia="Times New Roman" w:hAnsi="Verdana" w:cs="Times New Roman"/>
                <w:b/>
                <w:bCs/>
              </w:rPr>
            </w:pPr>
            <w:r>
              <w:rPr>
                <w:rFonts w:ascii="Verdana" w:eastAsia="Times New Roman" w:hAnsi="Verdana" w:cs="Times New Roman"/>
                <w:b/>
                <w:bCs/>
              </w:rPr>
              <w:t xml:space="preserve">Developing </w:t>
            </w:r>
          </w:p>
        </w:tc>
        <w:tc>
          <w:tcPr>
            <w:tcW w:w="125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04AA69B" w14:textId="77777777" w:rsidR="0063020F" w:rsidRDefault="00A671CE">
            <w:pPr>
              <w:jc w:val="center"/>
              <w:rPr>
                <w:rFonts w:ascii="Verdana" w:eastAsia="Times New Roman" w:hAnsi="Verdana" w:cs="Times New Roman"/>
                <w:b/>
                <w:bCs/>
              </w:rPr>
            </w:pPr>
            <w:r>
              <w:rPr>
                <w:rFonts w:ascii="Verdana" w:eastAsia="Times New Roman" w:hAnsi="Verdana" w:cs="Times New Roman"/>
                <w:b/>
                <w:bCs/>
              </w:rPr>
              <w:t xml:space="preserve">Beginning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4AE649A5" w14:textId="77777777" w:rsidR="0063020F" w:rsidRDefault="009C43B8">
            <w:pPr>
              <w:jc w:val="center"/>
              <w:rPr>
                <w:rFonts w:ascii="Verdana" w:eastAsia="Times New Roman" w:hAnsi="Verdana" w:cs="Times New Roman"/>
                <w:b/>
                <w:bCs/>
              </w:rPr>
            </w:pPr>
            <w:r>
              <w:rPr>
                <w:rFonts w:ascii="Verdana" w:eastAsia="Times New Roman" w:hAnsi="Verdana" w:cs="Times New Roman"/>
                <w:b/>
                <w:bCs/>
              </w:rPr>
              <w:t>N/A</w:t>
            </w:r>
          </w:p>
        </w:tc>
      </w:tr>
      <w:tr w:rsidR="0063020F" w14:paraId="66A7A9E6" w14:textId="77777777" w:rsidTr="00A671C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CCFFFF"/>
            <w:hideMark/>
          </w:tcPr>
          <w:p w14:paraId="579676D9" w14:textId="77777777" w:rsidR="0063020F" w:rsidRDefault="00A671CE">
            <w:pPr>
              <w:rPr>
                <w:rFonts w:ascii="Verdana" w:eastAsia="Times New Roman" w:hAnsi="Verdana" w:cs="Times New Roman"/>
              </w:rPr>
            </w:pPr>
            <w:r>
              <w:rPr>
                <w:rFonts w:ascii="Verdana" w:eastAsia="Times New Roman" w:hAnsi="Verdana" w:cs="Times New Roman"/>
              </w:rPr>
              <w:t>Understanding Global Systems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5A4B5B" w14:textId="77777777" w:rsidR="0063020F" w:rsidRDefault="00A671CE">
            <w:pPr>
              <w:rPr>
                <w:rFonts w:ascii="Verdana" w:eastAsia="Times New Roman" w:hAnsi="Verdana" w:cs="Times New Roman"/>
              </w:rPr>
            </w:pPr>
            <w:r>
              <w:rPr>
                <w:rFonts w:ascii="Verdana" w:eastAsia="Times New Roman" w:hAnsi="Verdana" w:cs="Times New Roman"/>
              </w:rPr>
              <w:t xml:space="preserve">Uses deep knowledge of the historic and contemporary role and differential effects of human organizations and actions on global systems to develop and advocate for informed, appropriate action to solve complex problems in the human and natural worlds.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09CAD0" w14:textId="77777777" w:rsidR="0063020F" w:rsidRDefault="00A671CE">
            <w:pPr>
              <w:rPr>
                <w:rFonts w:ascii="Verdana" w:eastAsia="Times New Roman" w:hAnsi="Verdana" w:cs="Times New Roman"/>
              </w:rPr>
            </w:pPr>
            <w:r>
              <w:rPr>
                <w:rFonts w:ascii="Verdana" w:eastAsia="Times New Roman" w:hAnsi="Verdana" w:cs="Times New Roman"/>
              </w:rPr>
              <w:t xml:space="preserve">Analyzes major elements of global systems, including their historic and contemporary interconnections and the differential effects of human organizations and actions, to pose elementary solutions to complex problems in the human and natural worlds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BB63E7E" w14:textId="77777777" w:rsidR="0063020F" w:rsidRDefault="00A671CE">
            <w:pPr>
              <w:rPr>
                <w:rFonts w:ascii="Verdana" w:eastAsia="Times New Roman" w:hAnsi="Verdana" w:cs="Times New Roman"/>
              </w:rPr>
            </w:pPr>
            <w:r>
              <w:rPr>
                <w:rFonts w:ascii="Verdana" w:eastAsia="Times New Roman" w:hAnsi="Verdana" w:cs="Times New Roman"/>
              </w:rPr>
              <w:t xml:space="preserve">Examines the historical and contemporary roles, interconnections, and differential effects of human organizations and actions on global systems within the human and the natural worlds.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98832B4" w14:textId="77777777" w:rsidR="0063020F" w:rsidRDefault="00A671CE">
            <w:pPr>
              <w:rPr>
                <w:rFonts w:ascii="Verdana" w:eastAsia="Times New Roman" w:hAnsi="Verdana" w:cs="Times New Roman"/>
              </w:rPr>
            </w:pPr>
            <w:r>
              <w:rPr>
                <w:rFonts w:ascii="Verdana" w:eastAsia="Times New Roman" w:hAnsi="Verdana" w:cs="Times New Roman"/>
              </w:rPr>
              <w:t xml:space="preserve">Identifies the basic role of some global and local institutions, ideas, and processes in the human and natural worlds.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390DEF72" w14:textId="77777777" w:rsidR="0063020F" w:rsidRDefault="00A671CE">
            <w:pPr>
              <w:rPr>
                <w:rFonts w:ascii="Verdana" w:eastAsia="Times New Roman" w:hAnsi="Verdana" w:cs="Times New Roman"/>
              </w:rPr>
            </w:pPr>
            <w:r>
              <w:rPr>
                <w:rFonts w:ascii="Verdana" w:eastAsia="Times New Roman" w:hAnsi="Verdana" w:cs="Times New Roman"/>
              </w:rPr>
              <w:t> </w:t>
            </w:r>
          </w:p>
        </w:tc>
      </w:tr>
      <w:tr w:rsidR="0063020F" w14:paraId="4C8AF3EE" w14:textId="77777777" w:rsidTr="00A671C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CCFFFF"/>
            <w:hideMark/>
          </w:tcPr>
          <w:p w14:paraId="492DD351" w14:textId="77777777" w:rsidR="0063020F" w:rsidRDefault="00A671CE">
            <w:pPr>
              <w:rPr>
                <w:rFonts w:ascii="Verdana" w:eastAsia="Times New Roman" w:hAnsi="Verdana" w:cs="Times New Roman"/>
              </w:rPr>
            </w:pPr>
            <w:r>
              <w:rPr>
                <w:rFonts w:ascii="Verdana" w:eastAsia="Times New Roman" w:hAnsi="Verdana" w:cs="Times New Roman"/>
              </w:rPr>
              <w:t>Consideration of Multiple Perspectives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10A071" w14:textId="77777777" w:rsidR="0063020F" w:rsidRDefault="00A671CE">
            <w:pPr>
              <w:rPr>
                <w:rFonts w:ascii="Verdana" w:eastAsia="Times New Roman" w:hAnsi="Verdana" w:cs="Times New Roman"/>
              </w:rPr>
            </w:pPr>
            <w:r>
              <w:rPr>
                <w:rFonts w:ascii="Verdana" w:eastAsia="Times New Roman" w:hAnsi="Verdana" w:cs="Times New Roman"/>
              </w:rPr>
              <w:t xml:space="preserve">Evaluates and applies diverse perspectives to complex subjects within natural and human systems in the face of multiple and even conflicting positions (i.e. cultural, disciplinary, and ethical).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E7FCF8" w14:textId="77777777" w:rsidR="0063020F" w:rsidRDefault="00A671CE">
            <w:pPr>
              <w:rPr>
                <w:rFonts w:ascii="Verdana" w:eastAsia="Times New Roman" w:hAnsi="Verdana" w:cs="Times New Roman"/>
              </w:rPr>
            </w:pPr>
            <w:r>
              <w:rPr>
                <w:rFonts w:ascii="Verdana" w:eastAsia="Times New Roman" w:hAnsi="Verdana" w:cs="Times New Roman"/>
              </w:rPr>
              <w:t xml:space="preserve">Synthesizes other perspectives (such as cultural, disciplinary, and ethical) when investigating subjects within natural and human systems.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E0A1EB" w14:textId="77777777" w:rsidR="0063020F" w:rsidRDefault="00A671CE">
            <w:pPr>
              <w:rPr>
                <w:rFonts w:ascii="Verdana" w:eastAsia="Times New Roman" w:hAnsi="Verdana" w:cs="Times New Roman"/>
              </w:rPr>
            </w:pPr>
            <w:r>
              <w:rPr>
                <w:rFonts w:ascii="Verdana" w:eastAsia="Times New Roman" w:hAnsi="Verdana" w:cs="Times New Roman"/>
              </w:rPr>
              <w:t xml:space="preserve">Identifies multiple perspectives (such as cultural, disciplinary, and ethical) when exploring subjects within natural and human systems.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B07675" w14:textId="77777777" w:rsidR="0063020F" w:rsidRDefault="00A671CE">
            <w:pPr>
              <w:rPr>
                <w:rFonts w:ascii="Verdana" w:eastAsia="Times New Roman" w:hAnsi="Verdana" w:cs="Times New Roman"/>
              </w:rPr>
            </w:pPr>
            <w:r>
              <w:rPr>
                <w:rFonts w:ascii="Verdana" w:eastAsia="Times New Roman" w:hAnsi="Verdana" w:cs="Times New Roman"/>
              </w:rPr>
              <w:t xml:space="preserve">Does not identify multiple perspectives.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64BD4849" w14:textId="77777777" w:rsidR="0063020F" w:rsidRDefault="00A671CE">
            <w:pPr>
              <w:rPr>
                <w:rFonts w:ascii="Verdana" w:eastAsia="Times New Roman" w:hAnsi="Verdana" w:cs="Times New Roman"/>
              </w:rPr>
            </w:pPr>
            <w:r>
              <w:rPr>
                <w:rFonts w:ascii="Verdana" w:eastAsia="Times New Roman" w:hAnsi="Verdana" w:cs="Times New Roman"/>
              </w:rPr>
              <w:t> </w:t>
            </w:r>
          </w:p>
        </w:tc>
      </w:tr>
      <w:tr w:rsidR="0063020F" w14:paraId="1469A257" w14:textId="77777777" w:rsidTr="00A671C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CCFFFF"/>
            <w:hideMark/>
          </w:tcPr>
          <w:p w14:paraId="09BCE262" w14:textId="77777777" w:rsidR="0063020F" w:rsidRDefault="00A671CE">
            <w:pPr>
              <w:rPr>
                <w:rFonts w:ascii="Verdana" w:eastAsia="Times New Roman" w:hAnsi="Verdana" w:cs="Times New Roman"/>
              </w:rPr>
            </w:pPr>
            <w:r>
              <w:rPr>
                <w:rFonts w:ascii="Verdana" w:eastAsia="Times New Roman" w:hAnsi="Verdana" w:cs="Times New Roman"/>
              </w:rPr>
              <w:t>Valuing Diversity</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4572D0" w14:textId="77777777" w:rsidR="0063020F" w:rsidRDefault="00A671CE">
            <w:pPr>
              <w:rPr>
                <w:rFonts w:ascii="Verdana" w:eastAsia="Times New Roman" w:hAnsi="Verdana" w:cs="Times New Roman"/>
              </w:rPr>
            </w:pPr>
            <w:r>
              <w:rPr>
                <w:rFonts w:ascii="Verdana" w:eastAsia="Times New Roman" w:hAnsi="Verdana" w:cs="Times New Roman"/>
              </w:rPr>
              <w:t xml:space="preserve">Demonstrates a deep understanding of and openness to world views, historical contexts, power structures, and experiences of multiple cultures and groups, while initiating meaningful interaction with others to address significant global problems.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9526BA8" w14:textId="77777777" w:rsidR="0063020F" w:rsidRDefault="00A671CE">
            <w:pPr>
              <w:rPr>
                <w:rFonts w:ascii="Verdana" w:eastAsia="Times New Roman" w:hAnsi="Verdana" w:cs="Times New Roman"/>
              </w:rPr>
            </w:pPr>
            <w:r>
              <w:rPr>
                <w:rFonts w:ascii="Verdana" w:eastAsia="Times New Roman" w:hAnsi="Verdana" w:cs="Times New Roman"/>
              </w:rPr>
              <w:t xml:space="preserve">Demonstrates an adequate understanding of and willingness to consider different world views, historical contexts, power structures, and experiences of multiple cultures and groups, while initiating interaction with others to address significant global problems.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9F8DA8F" w14:textId="77777777" w:rsidR="0063020F" w:rsidRDefault="00A671CE">
            <w:pPr>
              <w:rPr>
                <w:rFonts w:ascii="Verdana" w:eastAsia="Times New Roman" w:hAnsi="Verdana" w:cs="Times New Roman"/>
              </w:rPr>
            </w:pPr>
            <w:r>
              <w:rPr>
                <w:rFonts w:ascii="Verdana" w:eastAsia="Times New Roman" w:hAnsi="Verdana" w:cs="Times New Roman"/>
              </w:rPr>
              <w:t xml:space="preserve">Demonstrates a superficial understanding of or willingness to consider different worldviews, historical contexts, power structures, and experiences of multiple cultures and groups.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E56136" w14:textId="77777777" w:rsidR="0063020F" w:rsidRDefault="00A671CE">
            <w:pPr>
              <w:rPr>
                <w:rFonts w:ascii="Verdana" w:eastAsia="Times New Roman" w:hAnsi="Verdana" w:cs="Times New Roman"/>
              </w:rPr>
            </w:pPr>
            <w:r>
              <w:rPr>
                <w:rFonts w:ascii="Verdana" w:eastAsia="Times New Roman" w:hAnsi="Verdana" w:cs="Times New Roman"/>
              </w:rPr>
              <w:t xml:space="preserve">Does not demonstrate an understanding of or willingness to consider different worldviews, historical contexts, power structures, or experiences of multiple cultures and groups.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5CCF3679" w14:textId="77777777" w:rsidR="0063020F" w:rsidRDefault="00A671CE">
            <w:pPr>
              <w:rPr>
                <w:rFonts w:ascii="Verdana" w:eastAsia="Times New Roman" w:hAnsi="Verdana" w:cs="Times New Roman"/>
              </w:rPr>
            </w:pPr>
            <w:r>
              <w:rPr>
                <w:rFonts w:ascii="Verdana" w:eastAsia="Times New Roman" w:hAnsi="Verdana" w:cs="Times New Roman"/>
              </w:rPr>
              <w:t> </w:t>
            </w:r>
          </w:p>
        </w:tc>
      </w:tr>
      <w:tr w:rsidR="0063020F" w14:paraId="1C0AC060" w14:textId="77777777" w:rsidTr="00A671C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CCFFFF"/>
            <w:hideMark/>
          </w:tcPr>
          <w:p w14:paraId="3385AA0A" w14:textId="77777777" w:rsidR="0063020F" w:rsidRDefault="00A671CE">
            <w:pPr>
              <w:rPr>
                <w:rFonts w:ascii="Verdana" w:eastAsia="Times New Roman" w:hAnsi="Verdana" w:cs="Times New Roman"/>
              </w:rPr>
            </w:pPr>
            <w:r>
              <w:rPr>
                <w:rFonts w:ascii="Verdana" w:eastAsia="Times New Roman" w:hAnsi="Verdana" w:cs="Times New Roman"/>
              </w:rPr>
              <w:t>Global Awareness -- Identity in a Global Context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9D91195" w14:textId="77777777" w:rsidR="0063020F" w:rsidRDefault="00A671CE">
            <w:pPr>
              <w:rPr>
                <w:rFonts w:ascii="Verdana" w:eastAsia="Times New Roman" w:hAnsi="Verdana" w:cs="Times New Roman"/>
              </w:rPr>
            </w:pPr>
            <w:r>
              <w:rPr>
                <w:rFonts w:ascii="Verdana" w:eastAsia="Times New Roman" w:hAnsi="Verdana" w:cs="Times New Roman"/>
              </w:rPr>
              <w:t xml:space="preserve">Effectively addresses significant issues in the natural and human world based on articulating one’s identity in a global context.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8453B4" w14:textId="77777777" w:rsidR="0063020F" w:rsidRDefault="00A671CE">
            <w:pPr>
              <w:rPr>
                <w:rFonts w:ascii="Verdana" w:eastAsia="Times New Roman" w:hAnsi="Verdana" w:cs="Times New Roman"/>
              </w:rPr>
            </w:pPr>
            <w:r>
              <w:rPr>
                <w:rFonts w:ascii="Verdana" w:eastAsia="Times New Roman" w:hAnsi="Verdana" w:cs="Times New Roman"/>
              </w:rPr>
              <w:t xml:space="preserve">Evaluates the global impact of one’s own and others’ specific local actions on the natural and human world.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A8BDA4F" w14:textId="77777777" w:rsidR="0063020F" w:rsidRDefault="00A671CE">
            <w:pPr>
              <w:rPr>
                <w:rFonts w:ascii="Verdana" w:eastAsia="Times New Roman" w:hAnsi="Verdana" w:cs="Times New Roman"/>
              </w:rPr>
            </w:pPr>
            <w:r>
              <w:rPr>
                <w:rFonts w:ascii="Verdana" w:eastAsia="Times New Roman" w:hAnsi="Verdana" w:cs="Times New Roman"/>
              </w:rPr>
              <w:t xml:space="preserve">Identifies some connections between an individual’s personal decision-making and certain local and global issues.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42F232" w14:textId="77777777" w:rsidR="0063020F" w:rsidRDefault="00A671CE">
            <w:pPr>
              <w:rPr>
                <w:rFonts w:ascii="Verdana" w:eastAsia="Times New Roman" w:hAnsi="Verdana" w:cs="Times New Roman"/>
              </w:rPr>
            </w:pPr>
            <w:r>
              <w:rPr>
                <w:rFonts w:ascii="Verdana" w:eastAsia="Times New Roman" w:hAnsi="Verdana" w:cs="Times New Roman"/>
              </w:rPr>
              <w:t xml:space="preserve">Does not identify connections between an individual’s personal decision-making and certain local and global issues.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3D525EC7" w14:textId="77777777" w:rsidR="0063020F" w:rsidRDefault="00A671CE">
            <w:pPr>
              <w:rPr>
                <w:rFonts w:ascii="Verdana" w:eastAsia="Times New Roman" w:hAnsi="Verdana" w:cs="Times New Roman"/>
              </w:rPr>
            </w:pPr>
            <w:r>
              <w:rPr>
                <w:rFonts w:ascii="Verdana" w:eastAsia="Times New Roman" w:hAnsi="Verdana" w:cs="Times New Roman"/>
              </w:rPr>
              <w:t> </w:t>
            </w:r>
          </w:p>
        </w:tc>
      </w:tr>
      <w:tr w:rsidR="0063020F" w14:paraId="0328D16C" w14:textId="77777777" w:rsidTr="00A671CE">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CCFFFF"/>
            <w:hideMark/>
          </w:tcPr>
          <w:p w14:paraId="6382F2AC" w14:textId="77777777" w:rsidR="0063020F" w:rsidRDefault="00A671CE">
            <w:pPr>
              <w:rPr>
                <w:rFonts w:ascii="Verdana" w:eastAsia="Times New Roman" w:hAnsi="Verdana" w:cs="Times New Roman"/>
              </w:rPr>
            </w:pPr>
            <w:r>
              <w:rPr>
                <w:rFonts w:ascii="Verdana" w:eastAsia="Times New Roman" w:hAnsi="Verdana" w:cs="Times New Roman"/>
              </w:rPr>
              <w:t>Personal and Social Responsibility</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A49B7C" w14:textId="77777777" w:rsidR="0063020F" w:rsidRDefault="00A671CE">
            <w:pPr>
              <w:rPr>
                <w:rFonts w:ascii="Verdana" w:eastAsia="Times New Roman" w:hAnsi="Verdana" w:cs="Times New Roman"/>
              </w:rPr>
            </w:pPr>
            <w:r>
              <w:rPr>
                <w:rFonts w:ascii="Verdana" w:eastAsia="Times New Roman" w:hAnsi="Verdana" w:cs="Times New Roman"/>
              </w:rPr>
              <w:t xml:space="preserve">Takes informed and responsible action to address ethical, social, and environmental challenges in global systems and effectively evaluates the local </w:t>
            </w:r>
            <w:r>
              <w:rPr>
                <w:rFonts w:ascii="Verdana" w:eastAsia="Times New Roman" w:hAnsi="Verdana" w:cs="Times New Roman"/>
              </w:rPr>
              <w:lastRenderedPageBreak/>
              <w:t xml:space="preserve">and broader consequences of individual and collective interventions.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EDA636" w14:textId="77777777" w:rsidR="0063020F" w:rsidRDefault="00A671CE">
            <w:pPr>
              <w:rPr>
                <w:rFonts w:ascii="Verdana" w:eastAsia="Times New Roman" w:hAnsi="Verdana" w:cs="Times New Roman"/>
              </w:rPr>
            </w:pPr>
            <w:r>
              <w:rPr>
                <w:rFonts w:ascii="Verdana" w:eastAsia="Times New Roman" w:hAnsi="Verdana" w:cs="Times New Roman"/>
              </w:rPr>
              <w:lastRenderedPageBreak/>
              <w:t xml:space="preserve">Takes action to address ethical, social, and environmental challenges in global systems and evaluates the local and broader </w:t>
            </w:r>
            <w:r>
              <w:rPr>
                <w:rFonts w:ascii="Verdana" w:eastAsia="Times New Roman" w:hAnsi="Verdana" w:cs="Times New Roman"/>
              </w:rPr>
              <w:lastRenderedPageBreak/>
              <w:t xml:space="preserve">consequences of individual and collective interventions.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0E2801" w14:textId="77777777" w:rsidR="0063020F" w:rsidRDefault="00A671CE">
            <w:pPr>
              <w:rPr>
                <w:rFonts w:ascii="Verdana" w:eastAsia="Times New Roman" w:hAnsi="Verdana" w:cs="Times New Roman"/>
              </w:rPr>
            </w:pPr>
            <w:r>
              <w:rPr>
                <w:rFonts w:ascii="Verdana" w:eastAsia="Times New Roman" w:hAnsi="Verdana" w:cs="Times New Roman"/>
              </w:rPr>
              <w:lastRenderedPageBreak/>
              <w:t xml:space="preserve">Attempts action to address ethical, social, and environmental challenges in global systems and/or begins to evaluate the local and broader consequences of </w:t>
            </w:r>
            <w:r>
              <w:rPr>
                <w:rFonts w:ascii="Verdana" w:eastAsia="Times New Roman" w:hAnsi="Verdana" w:cs="Times New Roman"/>
              </w:rPr>
              <w:lastRenderedPageBreak/>
              <w:t xml:space="preserve">individual and collective interventions.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2185A8" w14:textId="77777777" w:rsidR="0063020F" w:rsidRDefault="00A671CE">
            <w:pPr>
              <w:rPr>
                <w:rFonts w:ascii="Verdana" w:eastAsia="Times New Roman" w:hAnsi="Verdana" w:cs="Times New Roman"/>
              </w:rPr>
            </w:pPr>
            <w:r>
              <w:rPr>
                <w:rFonts w:ascii="Verdana" w:eastAsia="Times New Roman" w:hAnsi="Verdana" w:cs="Times New Roman"/>
              </w:rPr>
              <w:lastRenderedPageBreak/>
              <w:t xml:space="preserve">Does not attempt action to address ethical, social, and environmental challenges in global systems and does not begin to evaluate the local and broader consequences of </w:t>
            </w:r>
            <w:r>
              <w:rPr>
                <w:rFonts w:ascii="Verdana" w:eastAsia="Times New Roman" w:hAnsi="Verdana" w:cs="Times New Roman"/>
              </w:rPr>
              <w:lastRenderedPageBreak/>
              <w:t xml:space="preserve">individual and collective interventions. </w:t>
            </w:r>
          </w:p>
        </w:tc>
        <w:tc>
          <w:tcPr>
            <w:tcW w:w="0" w:type="auto"/>
            <w:tcBorders>
              <w:top w:val="single" w:sz="4" w:space="0" w:color="auto"/>
              <w:left w:val="single" w:sz="4" w:space="0" w:color="auto"/>
              <w:bottom w:val="single" w:sz="4" w:space="0" w:color="auto"/>
              <w:right w:val="single" w:sz="4" w:space="0" w:color="auto"/>
            </w:tcBorders>
            <w:shd w:val="clear" w:color="auto" w:fill="E5FFE1"/>
            <w:hideMark/>
          </w:tcPr>
          <w:p w14:paraId="051148F7" w14:textId="77777777" w:rsidR="0063020F" w:rsidRDefault="00A671CE">
            <w:pPr>
              <w:rPr>
                <w:rFonts w:ascii="Verdana" w:eastAsia="Times New Roman" w:hAnsi="Verdana" w:cs="Times New Roman"/>
              </w:rPr>
            </w:pPr>
            <w:r>
              <w:rPr>
                <w:rFonts w:ascii="Verdana" w:eastAsia="Times New Roman" w:hAnsi="Verdana" w:cs="Times New Roman"/>
              </w:rPr>
              <w:lastRenderedPageBreak/>
              <w:t> </w:t>
            </w:r>
          </w:p>
        </w:tc>
      </w:tr>
      <w:tr w:rsidR="0063020F" w14:paraId="4CA4D29B" w14:textId="77777777" w:rsidTr="00A671CE">
        <w:trPr>
          <w:tblCellSpacing w:w="15"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FF6DDB9" w14:textId="77777777" w:rsidR="0063020F" w:rsidRDefault="0063020F">
            <w:pPr>
              <w:rPr>
                <w:rFonts w:ascii="Verdana" w:eastAsia="Times New Roman" w:hAnsi="Verdana" w:cs="Times New Roman"/>
              </w:rPr>
            </w:pPr>
          </w:p>
        </w:tc>
      </w:tr>
    </w:tbl>
    <w:p w14:paraId="6A307154" w14:textId="77777777" w:rsidR="0063020F" w:rsidRDefault="00A671CE">
      <w:pPr>
        <w:pStyle w:val="z-BottomofForm"/>
      </w:pPr>
      <w:r>
        <w:t>Bottom of Form</w:t>
      </w:r>
    </w:p>
    <w:sectPr w:rsidR="006302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CE"/>
    <w:rsid w:val="00075656"/>
    <w:rsid w:val="001865AF"/>
    <w:rsid w:val="00500212"/>
    <w:rsid w:val="0063020F"/>
    <w:rsid w:val="00743DF2"/>
    <w:rsid w:val="009C43B8"/>
    <w:rsid w:val="00A671CE"/>
    <w:rsid w:val="00DD3057"/>
    <w:rsid w:val="00EF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46AB9"/>
  <w14:defaultImageDpi w14:val="300"/>
  <w15:docId w15:val="{649B88DD-DD71-3A4E-A9C0-87F8ED5C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outlineLvl w:val="0"/>
    </w:pPr>
    <w:rPr>
      <w:rFonts w:ascii="Arial" w:hAnsi="Arial" w:cs="Arial"/>
      <w:b/>
      <w:bCs/>
      <w:kern w:val="36"/>
      <w:sz w:val="36"/>
      <w:szCs w:val="36"/>
    </w:rPr>
  </w:style>
  <w:style w:type="paragraph" w:styleId="Heading2">
    <w:name w:val="heading 2"/>
    <w:basedOn w:val="Normal"/>
    <w:link w:val="Heading2Char"/>
    <w:uiPriority w:val="9"/>
    <w:qFormat/>
    <w:pPr>
      <w:pBdr>
        <w:bottom w:val="single" w:sz="6" w:space="0" w:color="000000"/>
      </w:pBdr>
      <w:spacing w:before="100" w:beforeAutospacing="1" w:after="100" w:afterAutospacing="1"/>
      <w:outlineLvl w:val="1"/>
    </w:pPr>
    <w:rPr>
      <w:rFonts w:ascii="Arial" w:hAnsi="Arial" w:cs="Arial"/>
      <w:b/>
      <w:bCs/>
      <w:sz w:val="32"/>
      <w:szCs w:val="32"/>
    </w:rPr>
  </w:style>
  <w:style w:type="paragraph" w:styleId="Heading3">
    <w:name w:val="heading 3"/>
    <w:basedOn w:val="Normal"/>
    <w:link w:val="Heading3Char"/>
    <w:uiPriority w:val="9"/>
    <w:qFormat/>
    <w:pPr>
      <w:pBdr>
        <w:bottom w:val="dashed" w:sz="6" w:space="0" w:color="000000"/>
      </w:pBdr>
      <w:spacing w:before="100" w:beforeAutospacing="1" w:after="100" w:afterAutospacing="1"/>
      <w:outlineLvl w:val="2"/>
    </w:pPr>
    <w:rPr>
      <w:rFonts w:ascii="Arial" w:hAnsi="Arial" w:cs="Arial"/>
      <w:b/>
      <w:bCs/>
      <w:sz w:val="28"/>
      <w:szCs w:val="28"/>
    </w:rPr>
  </w:style>
  <w:style w:type="paragraph" w:styleId="Heading4">
    <w:name w:val="heading 4"/>
    <w:basedOn w:val="Normal"/>
    <w:link w:val="Heading4Char"/>
    <w:uiPriority w:val="9"/>
    <w:qFormat/>
    <w:pPr>
      <w:spacing w:before="100" w:beforeAutospacing="1" w:after="40"/>
      <w:outlineLvl w:val="3"/>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formquestion">
    <w:name w:val="formquestion"/>
    <w:basedOn w:val="Normal"/>
    <w:pPr>
      <w:keepNext/>
      <w:spacing w:before="320" w:after="100" w:afterAutospacing="1"/>
    </w:pPr>
    <w:rPr>
      <w:rFonts w:ascii="Arial" w:hAnsi="Arial" w:cs="Arial"/>
      <w:b/>
      <w:bCs/>
      <w:sz w:val="22"/>
      <w:szCs w:val="22"/>
    </w:rPr>
  </w:style>
  <w:style w:type="paragraph" w:customStyle="1" w:styleId="formquestiondesc">
    <w:name w:val="formquestiondesc"/>
    <w:basedOn w:val="Normal"/>
    <w:pPr>
      <w:spacing w:before="100" w:beforeAutospacing="1" w:after="80"/>
    </w:pPr>
    <w:rPr>
      <w:sz w:val="16"/>
      <w:szCs w:val="16"/>
    </w:rPr>
  </w:style>
  <w:style w:type="paragraph" w:customStyle="1" w:styleId="scalekey">
    <w:name w:val="scalekey"/>
    <w:basedOn w:val="Normal"/>
    <w:pPr>
      <w:spacing w:before="100" w:beforeAutospacing="1" w:after="80"/>
    </w:pPr>
    <w:rPr>
      <w:sz w:val="16"/>
      <w:szCs w:val="16"/>
    </w:rPr>
  </w:style>
  <w:style w:type="paragraph" w:customStyle="1" w:styleId="rubric">
    <w:name w:val="rubric"/>
    <w:basedOn w:val="Normal"/>
    <w:pPr>
      <w:spacing w:before="100" w:beforeAutospacing="1" w:after="100" w:afterAutospacing="1"/>
    </w:pPr>
  </w:style>
  <w:style w:type="paragraph" w:customStyle="1" w:styleId="label">
    <w:name w:val="label"/>
    <w:basedOn w:val="Normal"/>
    <w:pPr>
      <w:spacing w:before="100" w:beforeAutospacing="1" w:after="100" w:afterAutospacing="1"/>
    </w:pPr>
  </w:style>
  <w:style w:type="paragraph" w:customStyle="1" w:styleId="level">
    <w:name w:val="level"/>
    <w:basedOn w:val="Normal"/>
    <w:pPr>
      <w:shd w:val="clear" w:color="auto" w:fill="EAEAEA"/>
      <w:spacing w:before="100" w:beforeAutospacing="1" w:after="100" w:afterAutospacing="1"/>
    </w:pPr>
  </w:style>
  <w:style w:type="paragraph" w:customStyle="1" w:styleId="score">
    <w:name w:val="score"/>
    <w:basedOn w:val="Normal"/>
    <w:pPr>
      <w:shd w:val="clear" w:color="auto" w:fill="E5FFE1"/>
      <w:spacing w:before="100" w:beforeAutospacing="1" w:after="100" w:afterAutospacing="1"/>
      <w:textAlignment w:val="top"/>
    </w:pPr>
  </w:style>
  <w:style w:type="paragraph" w:customStyle="1" w:styleId="form">
    <w:name w:val="form"/>
    <w:basedOn w:val="Normal"/>
    <w:pPr>
      <w:shd w:val="clear" w:color="auto" w:fill="EAEAEA"/>
      <w:spacing w:before="100" w:beforeAutospacing="1" w:after="100" w:afterAutospacing="1"/>
      <w:textAlignment w:val="top"/>
    </w:pPr>
  </w:style>
  <w:style w:type="paragraph" w:customStyle="1" w:styleId="criteria">
    <w:name w:val="criteria"/>
    <w:basedOn w:val="Normal"/>
    <w:pPr>
      <w:shd w:val="clear" w:color="auto" w:fill="CCFFFF"/>
      <w:spacing w:before="100" w:beforeAutospacing="1" w:after="100" w:afterAutospacing="1"/>
      <w:textAlignment w:val="top"/>
    </w:pPr>
  </w:style>
  <w:style w:type="paragraph" w:customStyle="1" w:styleId="cell">
    <w:name w:val="cell"/>
    <w:basedOn w:val="Normal"/>
    <w:pPr>
      <w:spacing w:before="100" w:beforeAutospacing="1" w:after="100" w:afterAutospacing="1"/>
      <w:textAlignment w:val="top"/>
    </w:pPr>
  </w:style>
  <w:style w:type="paragraph" w:customStyle="1" w:styleId="cellnostandards">
    <w:name w:val="cellnostandards"/>
    <w:basedOn w:val="Normal"/>
    <w:pPr>
      <w:spacing w:before="100" w:beforeAutospacing="1" w:after="100" w:afterAutospacing="1"/>
      <w:textAlignment w:val="top"/>
    </w:pPr>
  </w:style>
  <w:style w:type="paragraph" w:customStyle="1" w:styleId="standards">
    <w:name w:val="standards"/>
    <w:basedOn w:val="Normal"/>
    <w:pPr>
      <w:spacing w:before="100" w:beforeAutospacing="1" w:after="100" w:afterAutospacing="1"/>
      <w:textAlignment w:val="top"/>
    </w:pPr>
    <w:rPr>
      <w:sz w:val="18"/>
      <w:szCs w:val="18"/>
    </w:rPr>
  </w:style>
  <w:style w:type="paragraph" w:customStyle="1" w:styleId="maxedrubric">
    <w:name w:val="maxedrubric"/>
    <w:basedOn w:val="Normal"/>
    <w:pPr>
      <w:spacing w:before="100" w:beforeAutospacing="1" w:after="100" w:afterAutospacing="1"/>
    </w:pPr>
    <w:rPr>
      <w:sz w:val="16"/>
      <w:szCs w:val="16"/>
    </w:rPr>
  </w:style>
  <w:style w:type="table" w:styleId="TableGrid">
    <w:name w:val="Table Grid"/>
    <w:basedOn w:val="TableNormal"/>
    <w:uiPriority w:val="59"/>
    <w:rPr>
      <w:rFonts w:ascii="Arial" w:hAnsi="Arial" w:cs="Arial"/>
      <w:sz w:val="18"/>
      <w:szCs w:val="18"/>
    </w:rPr>
    <w:tblPr>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3126</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3715</CharactersWithSpaces>
  <SharedDoc>false</SharedDoc>
  <HyperlinkBase>https://w.taskstream.com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Pieter De Haan</cp:lastModifiedBy>
  <cp:revision>2</cp:revision>
  <cp:lastPrinted>2016-09-14T18:58:00Z</cp:lastPrinted>
  <dcterms:created xsi:type="dcterms:W3CDTF">2021-03-02T19:34:00Z</dcterms:created>
  <dcterms:modified xsi:type="dcterms:W3CDTF">2021-03-02T19:34:00Z</dcterms:modified>
</cp:coreProperties>
</file>