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920"/>
        </w:tabs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COMMITTEE FOR QUALITY PROGRAMS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22 October 2015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12:15-1:15pm Room 311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Attended – marked with “X”, Partial Attendance“P”: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Co-Chairs: Tram Vo-Kumamoto, VPI and Diana Bajrami VPSS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Brenda Johnson, Dean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Vacant, Professional Development Chair </w:t>
      </w:r>
    </w:p>
    <w:p w:rsidR="00000000" w:rsidDel="00000000" w:rsidP="00000000" w:rsidRDefault="00000000" w:rsidRPr="00000000">
      <w:pPr>
        <w:spacing w:after="0" w:lineRule="auto"/>
        <w:ind w:left="144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Heather Dodge and Meredith Paige Teaching and learning Center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Lowood, Planning for Institutional Effectiveness (PIE) Chair or designee-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Jasmine Bomanjee Transfer and Career Information Center Coordinator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Cleavon Smith, Academic Senate President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Maricela Becerra, Learning Disabilities Specialist</w:t>
        <w:br w:type="textWrapping"/>
        <w:t xml:space="preserve">-</w:t>
        <w:tab/>
        <w:t xml:space="preserve">Allene Young, Counseling Faculty chair or designee</w:t>
        <w:br w:type="textWrapping"/>
        <w:t xml:space="preserve">-</w:t>
        <w:tab/>
        <w:t xml:space="preserve">Joshua Boatright, Library Faculty Chair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Ramona Butler, EOPS/CARE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Antonio Barreiro,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Adan Olmedo, Skyler Barton and Christina Taing Learning Community designee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 Curriculum Committee Chair or designee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Windy Franklin, DSPS Coordinator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Joseph Bielanski, Articulation Officer-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Brianna  Rogers,, Associated Students President or designee 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Karen Shields, Classified Senate President or designee- Roberto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Theresa Rowland,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Gail Pendleton, Assessment and Orientation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 </w:t>
        <w:tab/>
        <w:t xml:space="preserve">Joshua Boatright, Library Faculty Chair or designee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Guest(s):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started 12:24pm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ending 1:27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4950"/>
        <w:gridCol w:w="2307"/>
        <w:tblGridChange w:id="0">
          <w:tblGrid>
            <w:gridCol w:w="2310"/>
            <w:gridCol w:w="4950"/>
            <w:gridCol w:w="230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Integrated Planning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SSSP(May Chen)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Reviewed SSSP Plan: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Budget spreadsheet shown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Going to support BCC internal employees/services: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1. New BCC A&amp;R specialist 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2.Support 3 counselors( already hired)&amp; new adjunct counselors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3.New-VEIP 40% of salary comes from this budget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4.Proposed hire 1 full time research person(½ paid out of equity plan)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5.Technology- computer/printer and software/APP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SSSP is only for intake processes and can’t support tutoring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and Orientation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Counseling 200 was offered before the semester to help students who couldn’t get students enrolled.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was a one stop shop process for the Fall semester- Gail offered 20-30 sessions.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receive 35% funding for the comprehensive development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up services are also a challenge. Don’t have data of which of our students are on dismissal or academic probation.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00" w:before="0" w:line="276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Tram-  Presentation on Faculty Advising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Faculty advising job description shown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Counselors will work with undecided students and faculty with those students  that have decided. 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Diana wants to create a taskforce to address SSSP funds being used for Faculty advising 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342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lisa’s notes to make changes to highlight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34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Equity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34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sz w:val="16"/>
        <w:szCs w:val="16"/>
        <w:rtl w:val="0"/>
      </w:rPr>
      <w:t xml:space="preserve">EdCommittee</w:t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10.</w:t>
    </w:r>
    <w:r w:rsidDel="00000000" w:rsidR="00000000" w:rsidRPr="00000000">
      <w:rPr>
        <w:sz w:val="16"/>
        <w:szCs w:val="16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.15 Minutes </w:t>
      <w:tab/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