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CF9C" w14:textId="270D7F52" w:rsidR="00482BB6" w:rsidRDefault="00BA53F6">
      <w:pPr>
        <w:jc w:val="center"/>
        <w:rPr>
          <w:rFonts w:ascii="Georgia" w:hAnsi="Georgia"/>
        </w:rPr>
      </w:pPr>
      <w:r w:rsidRPr="7086CA2B">
        <w:rPr>
          <w:rFonts w:ascii="Georgia" w:hAnsi="Georgia"/>
        </w:rPr>
        <w:t xml:space="preserve">GE MATH Fulfillment </w:t>
      </w:r>
      <w:r w:rsidR="00F42B43">
        <w:rPr>
          <w:rFonts w:ascii="Georgia" w:hAnsi="Georgia"/>
        </w:rPr>
        <w:t>at BCC</w:t>
      </w:r>
    </w:p>
    <w:p w14:paraId="3BC7A414" w14:textId="1FC23044" w:rsidR="7086CA2B" w:rsidRDefault="7086CA2B" w:rsidP="7086CA2B">
      <w:pPr>
        <w:rPr>
          <w:rFonts w:ascii="Georgia" w:hAnsi="Georgia"/>
        </w:rPr>
      </w:pPr>
    </w:p>
    <w:p w14:paraId="7451B7B8" w14:textId="5107A1B2" w:rsidR="00482BB6" w:rsidRDefault="414DA89C" w:rsidP="7086CA2B">
      <w:pPr>
        <w:rPr>
          <w:rFonts w:ascii="Georgia" w:hAnsi="Georgia"/>
          <w:u w:val="single"/>
        </w:rPr>
      </w:pPr>
      <w:r w:rsidRPr="7086CA2B">
        <w:rPr>
          <w:rFonts w:ascii="Georgia" w:hAnsi="Georgia"/>
        </w:rPr>
        <w:t>C</w:t>
      </w:r>
      <w:r w:rsidR="00BA53F6" w:rsidRPr="7086CA2B">
        <w:rPr>
          <w:rFonts w:ascii="Georgia" w:hAnsi="Georgia"/>
        </w:rPr>
        <w:t xml:space="preserve">ollege: </w:t>
      </w:r>
      <w:r w:rsidR="00F42B43">
        <w:rPr>
          <w:rFonts w:ascii="Georgia" w:hAnsi="Georgia"/>
          <w:u w:val="single"/>
        </w:rPr>
        <w:t>BCC</w:t>
      </w:r>
      <w:r w:rsidR="00BA53F6">
        <w:tab/>
      </w:r>
      <w:r w:rsidR="00BA53F6">
        <w:tab/>
      </w:r>
      <w:r w:rsidR="00BA53F6">
        <w:tab/>
      </w:r>
      <w:r w:rsidR="00BA53F6">
        <w:tab/>
      </w:r>
      <w:r w:rsidR="00BA53F6">
        <w:tab/>
      </w:r>
      <w:r w:rsidR="00BA53F6">
        <w:tab/>
      </w:r>
      <w:r w:rsidR="00BA53F6">
        <w:tab/>
      </w:r>
      <w:r w:rsidR="00BA53F6">
        <w:tab/>
      </w:r>
      <w:r w:rsidR="00BA53F6">
        <w:tab/>
      </w:r>
      <w:r w:rsidR="00BA53F6">
        <w:tab/>
      </w:r>
      <w:r w:rsidR="00BA53F6">
        <w:tab/>
      </w:r>
      <w:r w:rsidR="00BA53F6">
        <w:tab/>
      </w:r>
      <w:r w:rsidR="00BA53F6">
        <w:tab/>
      </w:r>
      <w:r w:rsidR="00BA53F6">
        <w:tab/>
      </w:r>
      <w:r w:rsidR="00BA53F6">
        <w:tab/>
      </w:r>
      <w:r w:rsidR="00BA53F6">
        <w:tab/>
      </w:r>
      <w:r w:rsidR="4BB2766D" w:rsidRPr="7086CA2B">
        <w:rPr>
          <w:rFonts w:ascii="Georgia" w:hAnsi="Georgia"/>
        </w:rPr>
        <w:t xml:space="preserve">                 </w:t>
      </w:r>
      <w:r w:rsidR="59C8127B" w:rsidRPr="7086CA2B">
        <w:rPr>
          <w:rFonts w:ascii="Georgia" w:hAnsi="Georgia"/>
        </w:rPr>
        <w:t xml:space="preserve">      </w:t>
      </w:r>
      <w:r w:rsidR="00BA53F6" w:rsidRPr="7086CA2B">
        <w:rPr>
          <w:rFonts w:ascii="Georgia" w:hAnsi="Georgia"/>
        </w:rPr>
        <w:t xml:space="preserve">Articulation Officer: </w:t>
      </w:r>
      <w:r w:rsidR="00F42B43">
        <w:rPr>
          <w:rFonts w:ascii="Georgia" w:hAnsi="Georgia"/>
        </w:rPr>
        <w:t>Joseph Beliensky</w:t>
      </w:r>
    </w:p>
    <w:p w14:paraId="7E021430" w14:textId="77777777" w:rsidR="00482BB6" w:rsidRDefault="00482BB6">
      <w:pPr>
        <w:rPr>
          <w:rFonts w:ascii="Georgia" w:hAnsi="Georgia"/>
        </w:rPr>
      </w:pPr>
    </w:p>
    <w:tbl>
      <w:tblPr>
        <w:tblStyle w:val="TableGrid"/>
        <w:tblW w:w="0" w:type="auto"/>
        <w:tblLook w:val="04A0" w:firstRow="1" w:lastRow="0" w:firstColumn="1" w:lastColumn="0" w:noHBand="0" w:noVBand="1"/>
      </w:tblPr>
      <w:tblGrid>
        <w:gridCol w:w="9350"/>
      </w:tblGrid>
      <w:tr w:rsidR="00482BB6" w14:paraId="53553B46" w14:textId="77777777" w:rsidTr="3E2AE284">
        <w:trPr>
          <w:trHeight w:val="341"/>
        </w:trPr>
        <w:tc>
          <w:tcPr>
            <w:tcW w:w="9350" w:type="dxa"/>
            <w:shd w:val="clear" w:color="auto" w:fill="F4B083" w:themeFill="accent2" w:themeFillTint="99"/>
            <w:vAlign w:val="center"/>
          </w:tcPr>
          <w:p w14:paraId="30CD6981" w14:textId="3E5091C5" w:rsidR="00482BB6" w:rsidRPr="00DB6EFC" w:rsidRDefault="003A7B7E">
            <w:pPr>
              <w:rPr>
                <w:rFonts w:ascii="Georgia" w:hAnsi="Georgia"/>
                <w:b/>
                <w:bCs/>
              </w:rPr>
            </w:pPr>
            <w:r w:rsidRPr="00DB6EFC">
              <w:rPr>
                <w:rFonts w:ascii="Georgia" w:hAnsi="Georgia"/>
                <w:b/>
                <w:bCs/>
              </w:rPr>
              <w:t xml:space="preserve">Name of District Researched (if any):                                                       </w:t>
            </w:r>
          </w:p>
        </w:tc>
      </w:tr>
      <w:tr w:rsidR="00482BB6" w14:paraId="4C4050D8" w14:textId="77777777" w:rsidTr="3E2AE284">
        <w:trPr>
          <w:trHeight w:hRule="exact" w:val="6697"/>
        </w:trPr>
        <w:tc>
          <w:tcPr>
            <w:tcW w:w="9350" w:type="dxa"/>
            <w:tcBorders>
              <w:bottom w:val="single" w:sz="4" w:space="0" w:color="auto"/>
            </w:tcBorders>
          </w:tcPr>
          <w:p w14:paraId="17F7D5A3" w14:textId="77777777" w:rsidR="00482BB6" w:rsidRDefault="00BA53F6">
            <w:pPr>
              <w:rPr>
                <w:rFonts w:ascii="Georgia" w:hAnsi="Georgia"/>
              </w:rPr>
            </w:pPr>
            <w:r>
              <w:rPr>
                <w:rFonts w:ascii="Georgia" w:hAnsi="Georgia"/>
              </w:rPr>
              <w:t>Acceptable ways to fulfill MATH requirement:</w:t>
            </w:r>
          </w:p>
          <w:p w14:paraId="6E03FEB3" w14:textId="7E5D5EE4" w:rsidR="00632D32" w:rsidRPr="00632D32" w:rsidRDefault="00632D32" w:rsidP="00632D32">
            <w:pPr>
              <w:rPr>
                <w:rFonts w:ascii="Georgia" w:hAnsi="Georgia"/>
              </w:rPr>
            </w:pPr>
            <w:r w:rsidRPr="00632D32">
              <w:rPr>
                <w:rFonts w:ascii="Georgia" w:hAnsi="Georgia"/>
                <w:b/>
                <w:bCs/>
              </w:rPr>
              <w:t>Las Positas:</w:t>
            </w:r>
            <w:r>
              <w:rPr>
                <w:rFonts w:ascii="Georgia" w:hAnsi="Georgia"/>
              </w:rPr>
              <w:t xml:space="preserve"> </w:t>
            </w:r>
            <w:r w:rsidRPr="00632D32">
              <w:rPr>
                <w:rFonts w:ascii="Times New Roman" w:hAnsi="Times New Roman"/>
                <w:color w:val="201F1E"/>
                <w:sz w:val="24"/>
                <w:szCs w:val="24"/>
                <w:shd w:val="clear" w:color="auto" w:fill="FFFFFF"/>
              </w:rPr>
              <w:t xml:space="preserve">allows students to fulfill the Mathematics General Education requirement for the local degree with multiple options, including the following: </w:t>
            </w:r>
          </w:p>
          <w:p w14:paraId="2A4F0048" w14:textId="77777777" w:rsidR="00632D32" w:rsidRPr="00632D32" w:rsidRDefault="00632D32" w:rsidP="00632D32">
            <w:pPr>
              <w:shd w:val="clear" w:color="auto" w:fill="FFFFFF"/>
              <w:textAlignment w:val="baseline"/>
              <w:rPr>
                <w:rFonts w:ascii="Times New Roman" w:hAnsi="Times New Roman"/>
                <w:color w:val="201F1E"/>
                <w:sz w:val="24"/>
                <w:szCs w:val="24"/>
                <w:shd w:val="clear" w:color="auto" w:fill="FFFFFF"/>
              </w:rPr>
            </w:pPr>
            <w:r w:rsidRPr="00632D32">
              <w:rPr>
                <w:rFonts w:ascii="Times New Roman" w:hAnsi="Times New Roman"/>
                <w:color w:val="201F1E"/>
                <w:sz w:val="24"/>
                <w:szCs w:val="24"/>
                <w:shd w:val="clear" w:color="auto" w:fill="FFFFFF"/>
              </w:rPr>
              <w:t xml:space="preserve">“Documentation showing completion of Algebra 2 or Integrated Math 3 in High School with a grade of “C’ or higher; </w:t>
            </w:r>
          </w:p>
          <w:p w14:paraId="33CA8952" w14:textId="77777777" w:rsidR="00632D32" w:rsidRPr="00632D32" w:rsidRDefault="00632D32" w:rsidP="00632D32">
            <w:pPr>
              <w:shd w:val="clear" w:color="auto" w:fill="FFFFFF"/>
              <w:textAlignment w:val="baseline"/>
              <w:rPr>
                <w:rFonts w:ascii="Times New Roman" w:hAnsi="Times New Roman"/>
                <w:color w:val="201F1E"/>
                <w:sz w:val="24"/>
                <w:szCs w:val="24"/>
                <w:shd w:val="clear" w:color="auto" w:fill="FFFFFF"/>
              </w:rPr>
            </w:pPr>
            <w:r w:rsidRPr="00632D32">
              <w:rPr>
                <w:rFonts w:ascii="Times New Roman" w:hAnsi="Times New Roman"/>
                <w:color w:val="201F1E"/>
                <w:sz w:val="24"/>
                <w:szCs w:val="24"/>
                <w:shd w:val="clear" w:color="auto" w:fill="FFFFFF"/>
              </w:rPr>
              <w:t xml:space="preserve">CLEP score of 50 or higher; </w:t>
            </w:r>
          </w:p>
          <w:p w14:paraId="7C02ED58" w14:textId="77777777" w:rsidR="00632D32" w:rsidRPr="00632D32" w:rsidRDefault="00632D32" w:rsidP="00632D32">
            <w:pPr>
              <w:shd w:val="clear" w:color="auto" w:fill="FFFFFF"/>
              <w:textAlignment w:val="baseline"/>
              <w:rPr>
                <w:rFonts w:ascii="Times New Roman" w:hAnsi="Times New Roman"/>
                <w:color w:val="201F1E"/>
                <w:sz w:val="24"/>
                <w:szCs w:val="24"/>
                <w:shd w:val="clear" w:color="auto" w:fill="FFFFFF"/>
              </w:rPr>
            </w:pPr>
            <w:r w:rsidRPr="00632D32">
              <w:rPr>
                <w:rFonts w:ascii="Times New Roman" w:hAnsi="Times New Roman"/>
                <w:color w:val="201F1E"/>
                <w:sz w:val="24"/>
                <w:szCs w:val="24"/>
                <w:shd w:val="clear" w:color="auto" w:fill="FFFFFF"/>
              </w:rPr>
              <w:t xml:space="preserve">IB score of 4 or higher; </w:t>
            </w:r>
          </w:p>
          <w:p w14:paraId="17585204" w14:textId="77777777" w:rsidR="00632D32" w:rsidRPr="00632D32" w:rsidRDefault="00632D32" w:rsidP="00632D32">
            <w:pPr>
              <w:shd w:val="clear" w:color="auto" w:fill="FFFFFF"/>
              <w:textAlignment w:val="baseline"/>
              <w:rPr>
                <w:rFonts w:ascii="Times New Roman" w:hAnsi="Times New Roman"/>
                <w:color w:val="201F1E"/>
                <w:sz w:val="24"/>
                <w:szCs w:val="24"/>
                <w:shd w:val="clear" w:color="auto" w:fill="FFFFFF"/>
              </w:rPr>
            </w:pPr>
            <w:r w:rsidRPr="00632D32">
              <w:rPr>
                <w:rFonts w:ascii="Times New Roman" w:hAnsi="Times New Roman"/>
                <w:color w:val="201F1E"/>
                <w:sz w:val="24"/>
                <w:szCs w:val="24"/>
                <w:shd w:val="clear" w:color="auto" w:fill="FFFFFF"/>
              </w:rPr>
              <w:t xml:space="preserve">AP score of 3 or higher; or </w:t>
            </w:r>
          </w:p>
          <w:p w14:paraId="324F1F79" w14:textId="4B0CEB8C" w:rsidR="00632D32" w:rsidRDefault="00632D32" w:rsidP="00632D32">
            <w:pPr>
              <w:shd w:val="clear" w:color="auto" w:fill="FFFFFF"/>
              <w:textAlignment w:val="baseline"/>
              <w:rPr>
                <w:rFonts w:ascii="Times New Roman" w:hAnsi="Times New Roman"/>
                <w:color w:val="201F1E"/>
                <w:sz w:val="24"/>
                <w:szCs w:val="24"/>
                <w:shd w:val="clear" w:color="auto" w:fill="FFFFFF"/>
              </w:rPr>
            </w:pPr>
            <w:r w:rsidRPr="00632D32">
              <w:rPr>
                <w:rFonts w:ascii="Times New Roman" w:hAnsi="Times New Roman"/>
                <w:color w:val="201F1E"/>
                <w:sz w:val="24"/>
                <w:szCs w:val="24"/>
                <w:shd w:val="clear" w:color="auto" w:fill="FFFFFF"/>
              </w:rPr>
              <w:t>Completion of one the college courses listed below.”</w:t>
            </w:r>
          </w:p>
          <w:p w14:paraId="49B527B6" w14:textId="45C14064" w:rsidR="00632D32" w:rsidRDefault="00632D32" w:rsidP="00632D32">
            <w:pPr>
              <w:shd w:val="clear" w:color="auto" w:fill="FFFFFF"/>
              <w:textAlignment w:val="baseline"/>
              <w:rPr>
                <w:rFonts w:ascii="Times New Roman" w:hAnsi="Times New Roman"/>
                <w:color w:val="201F1E"/>
                <w:sz w:val="24"/>
                <w:szCs w:val="24"/>
                <w:shd w:val="clear" w:color="auto" w:fill="FFFFFF"/>
              </w:rPr>
            </w:pPr>
          </w:p>
          <w:p w14:paraId="21D01CEA" w14:textId="13E72B11" w:rsidR="00632D32" w:rsidRDefault="00632D32" w:rsidP="00632D32">
            <w:pPr>
              <w:shd w:val="clear" w:color="auto" w:fill="FFFFFF"/>
              <w:textAlignment w:val="baseline"/>
              <w:rPr>
                <w:rFonts w:ascii="Times New Roman" w:hAnsi="Times New Roman"/>
                <w:color w:val="201F1E"/>
                <w:sz w:val="24"/>
                <w:szCs w:val="24"/>
                <w:shd w:val="clear" w:color="auto" w:fill="FFFFFF"/>
              </w:rPr>
            </w:pPr>
            <w:r w:rsidRPr="00632D32">
              <w:rPr>
                <w:rFonts w:ascii="Times New Roman" w:hAnsi="Times New Roman"/>
                <w:b/>
                <w:bCs/>
                <w:color w:val="201F1E"/>
                <w:sz w:val="24"/>
                <w:szCs w:val="24"/>
                <w:shd w:val="clear" w:color="auto" w:fill="FFFFFF"/>
              </w:rPr>
              <w:t>Chabot College:</w:t>
            </w:r>
          </w:p>
          <w:p w14:paraId="266BE639" w14:textId="4F8269F5" w:rsidR="00632D32" w:rsidRPr="00632D32" w:rsidRDefault="00030816" w:rsidP="00632D32">
            <w:pPr>
              <w:shd w:val="clear" w:color="auto" w:fill="FFFFFF"/>
              <w:textAlignment w:val="baseline"/>
              <w:rPr>
                <w:rFonts w:ascii="Times New Roman" w:hAnsi="Times New Roman"/>
                <w:color w:val="201F1E"/>
                <w:sz w:val="24"/>
                <w:szCs w:val="24"/>
                <w:shd w:val="clear" w:color="auto" w:fill="FFFFFF"/>
              </w:rPr>
            </w:pPr>
            <w:r>
              <w:t xml:space="preserve">List of </w:t>
            </w:r>
            <w:r w:rsidR="000766D6">
              <w:t xml:space="preserve">math </w:t>
            </w:r>
            <w:r>
              <w:t>courses</w:t>
            </w:r>
            <w:r w:rsidR="00632D32">
              <w:t>; OR Demonstrate proficiency at, or beyond, intermediate algebra with one of the following: AP Statistics or Calculus Exam (score of “3” or higher); CSU EAP Math with “Standard Meet” or “Standard Exceeded”; second semester of high school Algebra 2 or Integrated Math 3 (or higher) with a minimum grade of C-; Chabot College Accuplacer (no longer offered).</w:t>
            </w:r>
          </w:p>
          <w:p w14:paraId="11DA3208" w14:textId="77777777" w:rsidR="00632D32" w:rsidRDefault="00632D32">
            <w:pPr>
              <w:rPr>
                <w:rFonts w:ascii="Georgia" w:hAnsi="Georgia"/>
              </w:rPr>
            </w:pPr>
          </w:p>
          <w:p w14:paraId="0AC2B599" w14:textId="136A8C3A" w:rsidR="00632D32" w:rsidRPr="000766D6" w:rsidRDefault="000766D6">
            <w:pPr>
              <w:rPr>
                <w:rFonts w:ascii="Georgia" w:hAnsi="Georgia"/>
                <w:b/>
                <w:bCs/>
              </w:rPr>
            </w:pPr>
            <w:r w:rsidRPr="000766D6">
              <w:rPr>
                <w:rFonts w:ascii="Georgia" w:hAnsi="Georgia"/>
                <w:b/>
                <w:bCs/>
              </w:rPr>
              <w:t>Cabrillo College:</w:t>
            </w:r>
          </w:p>
          <w:p w14:paraId="7B14E850" w14:textId="77777777" w:rsidR="000766D6" w:rsidRPr="000766D6" w:rsidRDefault="000766D6" w:rsidP="000766D6">
            <w:pPr>
              <w:rPr>
                <w:rFonts w:ascii="Georgia" w:hAnsi="Georgia"/>
              </w:rPr>
            </w:pPr>
            <w:r w:rsidRPr="000766D6">
              <w:rPr>
                <w:rFonts w:ascii="Georgia" w:hAnsi="Georgia"/>
              </w:rPr>
              <w:t>Math Competency Requirement</w:t>
            </w:r>
          </w:p>
          <w:p w14:paraId="6C2148A2" w14:textId="77777777" w:rsidR="000766D6" w:rsidRPr="000766D6" w:rsidRDefault="000766D6" w:rsidP="000766D6">
            <w:pPr>
              <w:rPr>
                <w:rFonts w:ascii="Georgia" w:hAnsi="Georgia"/>
              </w:rPr>
            </w:pPr>
            <w:r w:rsidRPr="000766D6">
              <w:rPr>
                <w:rFonts w:ascii="Georgia" w:hAnsi="Georgia"/>
              </w:rPr>
              <w:t>The mathematics requirement may be met by completion of intermediate algebra or equivalent, or any transfer-level mathematics</w:t>
            </w:r>
          </w:p>
          <w:p w14:paraId="53EC6D8E" w14:textId="77777777" w:rsidR="000766D6" w:rsidRPr="000766D6" w:rsidRDefault="000766D6" w:rsidP="000766D6">
            <w:pPr>
              <w:rPr>
                <w:rFonts w:ascii="Georgia" w:hAnsi="Georgia"/>
              </w:rPr>
            </w:pPr>
            <w:r w:rsidRPr="000766D6">
              <w:rPr>
                <w:rFonts w:ascii="Georgia" w:hAnsi="Georgia"/>
              </w:rPr>
              <w:t>course, or Algebra 2 or Common Core Integrated Math III at the high school level, or MATH 370B with a grade of “C-” or better.</w:t>
            </w:r>
          </w:p>
          <w:p w14:paraId="07CFDC3A" w14:textId="0C28247E" w:rsidR="000766D6" w:rsidRDefault="000766D6" w:rsidP="000766D6">
            <w:pPr>
              <w:rPr>
                <w:rFonts w:ascii="Georgia" w:hAnsi="Georgia"/>
              </w:rPr>
            </w:pPr>
            <w:r w:rsidRPr="000766D6">
              <w:rPr>
                <w:rFonts w:ascii="Georgia" w:hAnsi="Georgia"/>
              </w:rPr>
              <w:t>Successful completion must be verified by an official college or high school transcript or by an appropriate score on the Cabrillo</w:t>
            </w:r>
            <w:r>
              <w:rPr>
                <w:rFonts w:ascii="Georgia" w:hAnsi="Georgia"/>
              </w:rPr>
              <w:t xml:space="preserve"> </w:t>
            </w:r>
            <w:r w:rsidRPr="000766D6">
              <w:rPr>
                <w:rFonts w:ascii="Georgia" w:hAnsi="Georgia"/>
              </w:rPr>
              <w:t>mathematics assessment taken prior to February 9, 2019.</w:t>
            </w:r>
          </w:p>
        </w:tc>
      </w:tr>
      <w:tr w:rsidR="00482BB6" w14:paraId="3D58CE5C" w14:textId="77777777" w:rsidTr="3E2AE284">
        <w:trPr>
          <w:trHeight w:val="386"/>
        </w:trPr>
        <w:tc>
          <w:tcPr>
            <w:tcW w:w="9350" w:type="dxa"/>
            <w:shd w:val="clear" w:color="auto" w:fill="F4B083" w:themeFill="accent2" w:themeFillTint="99"/>
            <w:vAlign w:val="center"/>
          </w:tcPr>
          <w:p w14:paraId="5A6A5C03" w14:textId="2688EB33" w:rsidR="00482BB6" w:rsidRDefault="003A7B7E">
            <w:pPr>
              <w:rPr>
                <w:rFonts w:ascii="Georgia" w:hAnsi="Georgia"/>
                <w:b/>
                <w:bCs/>
              </w:rPr>
            </w:pPr>
            <w:r>
              <w:rPr>
                <w:rFonts w:ascii="Georgia" w:hAnsi="Georgia"/>
                <w:b/>
                <w:bCs/>
              </w:rPr>
              <w:t xml:space="preserve">College MATH Department </w:t>
            </w:r>
          </w:p>
        </w:tc>
      </w:tr>
      <w:tr w:rsidR="00482BB6" w14:paraId="5341C278" w14:textId="77777777" w:rsidTr="3E2AE284">
        <w:trPr>
          <w:trHeight w:hRule="exact" w:val="1584"/>
        </w:trPr>
        <w:tc>
          <w:tcPr>
            <w:tcW w:w="9350" w:type="dxa"/>
          </w:tcPr>
          <w:p w14:paraId="12F16F26" w14:textId="3E7F884C" w:rsidR="00482BB6" w:rsidRDefault="00BA53F6">
            <w:pPr>
              <w:rPr>
                <w:rFonts w:ascii="Georgia" w:hAnsi="Georgia"/>
              </w:rPr>
            </w:pPr>
            <w:r>
              <w:rPr>
                <w:rFonts w:ascii="Georgia" w:hAnsi="Georgia"/>
              </w:rPr>
              <w:t xml:space="preserve">     Discussion:</w:t>
            </w:r>
            <w:r w:rsidR="00B14EED">
              <w:rPr>
                <w:rFonts w:ascii="Georgia" w:hAnsi="Georgia"/>
              </w:rPr>
              <w:t xml:space="preserve"> </w:t>
            </w:r>
            <w:r w:rsidR="00F42B43">
              <w:rPr>
                <w:rFonts w:cstheme="minorHAnsi"/>
              </w:rPr>
              <w:t xml:space="preserve">During BCC Math. Department meeting on 10/19/2022, we endorse to </w:t>
            </w:r>
            <w:r w:rsidR="00F42B43" w:rsidRPr="00632D32">
              <w:rPr>
                <w:rFonts w:ascii="Times New Roman" w:hAnsi="Times New Roman"/>
                <w:color w:val="201F1E"/>
                <w:sz w:val="24"/>
                <w:szCs w:val="24"/>
                <w:shd w:val="clear" w:color="auto" w:fill="FFFFFF"/>
              </w:rPr>
              <w:t>allow students to fulfill the Mathematics General Education requirement for the local degree with multiple options</w:t>
            </w:r>
            <w:r w:rsidR="00F42B43">
              <w:rPr>
                <w:rFonts w:ascii="Times New Roman" w:hAnsi="Times New Roman"/>
                <w:color w:val="201F1E"/>
                <w:sz w:val="24"/>
                <w:szCs w:val="24"/>
                <w:shd w:val="clear" w:color="auto" w:fill="FFFFFF"/>
              </w:rPr>
              <w:t xml:space="preserve"> mentioned above</w:t>
            </w:r>
          </w:p>
        </w:tc>
      </w:tr>
      <w:tr w:rsidR="00482BB6" w14:paraId="349BA689" w14:textId="77777777" w:rsidTr="3E2AE284">
        <w:trPr>
          <w:trHeight w:hRule="exact" w:val="720"/>
        </w:trPr>
        <w:tc>
          <w:tcPr>
            <w:tcW w:w="9350" w:type="dxa"/>
            <w:tcBorders>
              <w:bottom w:val="single" w:sz="4" w:space="0" w:color="auto"/>
            </w:tcBorders>
          </w:tcPr>
          <w:p w14:paraId="1CCE623E" w14:textId="6267A911" w:rsidR="00482BB6" w:rsidRDefault="00BA53F6">
            <w:pPr>
              <w:rPr>
                <w:rFonts w:ascii="Georgia" w:hAnsi="Georgia"/>
              </w:rPr>
            </w:pPr>
            <w:r>
              <w:rPr>
                <w:rFonts w:ascii="Georgia" w:hAnsi="Georgia"/>
              </w:rPr>
              <w:t xml:space="preserve">     Recommendation:</w:t>
            </w:r>
            <w:r w:rsidR="00B14EED">
              <w:rPr>
                <w:rFonts w:ascii="Georgia" w:hAnsi="Georgia"/>
              </w:rPr>
              <w:t xml:space="preserve"> To move forward </w:t>
            </w:r>
            <w:r>
              <w:rPr>
                <w:rFonts w:ascii="Georgia" w:hAnsi="Georgia"/>
              </w:rPr>
              <w:t>using other options to satisfied this GE requirement.</w:t>
            </w:r>
          </w:p>
        </w:tc>
      </w:tr>
      <w:tr w:rsidR="00482BB6" w14:paraId="7C9323A9" w14:textId="77777777" w:rsidTr="3E2AE284">
        <w:trPr>
          <w:trHeight w:val="350"/>
        </w:trPr>
        <w:tc>
          <w:tcPr>
            <w:tcW w:w="9350" w:type="dxa"/>
            <w:shd w:val="clear" w:color="auto" w:fill="F4B083" w:themeFill="accent2" w:themeFillTint="99"/>
            <w:vAlign w:val="center"/>
          </w:tcPr>
          <w:p w14:paraId="5250B095" w14:textId="6DB3DB44" w:rsidR="00482BB6" w:rsidRDefault="003A7B7E">
            <w:pPr>
              <w:rPr>
                <w:rFonts w:ascii="Georgia" w:hAnsi="Georgia"/>
                <w:b/>
                <w:bCs/>
              </w:rPr>
            </w:pPr>
            <w:r>
              <w:rPr>
                <w:rFonts w:ascii="Georgia" w:hAnsi="Georgia"/>
                <w:b/>
                <w:bCs/>
              </w:rPr>
              <w:t>College Curriculum Committee</w:t>
            </w:r>
          </w:p>
        </w:tc>
      </w:tr>
      <w:tr w:rsidR="00482BB6" w14:paraId="33669C6F" w14:textId="77777777" w:rsidTr="3E2AE284">
        <w:trPr>
          <w:trHeight w:hRule="exact" w:val="1584"/>
        </w:trPr>
        <w:tc>
          <w:tcPr>
            <w:tcW w:w="9350" w:type="dxa"/>
          </w:tcPr>
          <w:p w14:paraId="33CBFAF0" w14:textId="07FB05AF" w:rsidR="00482BB6" w:rsidRDefault="00BA53F6">
            <w:pPr>
              <w:rPr>
                <w:rFonts w:ascii="Georgia" w:hAnsi="Georgia"/>
              </w:rPr>
            </w:pPr>
            <w:r w:rsidRPr="3E2AE284">
              <w:rPr>
                <w:rFonts w:ascii="Georgia" w:hAnsi="Georgia"/>
              </w:rPr>
              <w:lastRenderedPageBreak/>
              <w:t xml:space="preserve">     Discussion:</w:t>
            </w:r>
            <w:r w:rsidR="3658F7FB" w:rsidRPr="3E2AE284">
              <w:rPr>
                <w:rFonts w:ascii="Georgia" w:hAnsi="Georgia"/>
              </w:rPr>
              <w:t xml:space="preserve"> Shared the above and Title 5 regulation (from 2019) update</w:t>
            </w:r>
            <w:r w:rsidR="2E3D5FE0" w:rsidRPr="3E2AE284">
              <w:rPr>
                <w:rFonts w:ascii="Georgia" w:hAnsi="Georgia"/>
              </w:rPr>
              <w:t xml:space="preserve"> below. Comments if it’s in T5, then we should allow students to complete</w:t>
            </w:r>
            <w:r w:rsidR="121BA5BA" w:rsidRPr="3E2AE284">
              <w:rPr>
                <w:rFonts w:ascii="Georgia" w:hAnsi="Georgia"/>
              </w:rPr>
              <w:t xml:space="preserve"> the requirement</w:t>
            </w:r>
            <w:r w:rsidR="2E3D5FE0" w:rsidRPr="3E2AE284">
              <w:rPr>
                <w:rFonts w:ascii="Georgia" w:hAnsi="Georgia"/>
              </w:rPr>
              <w:t xml:space="preserve"> by o</w:t>
            </w:r>
            <w:r w:rsidR="52171BEC" w:rsidRPr="3E2AE284">
              <w:rPr>
                <w:rFonts w:ascii="Georgia" w:hAnsi="Georgia"/>
              </w:rPr>
              <w:t>ther means.</w:t>
            </w:r>
          </w:p>
        </w:tc>
      </w:tr>
      <w:tr w:rsidR="00482BB6" w14:paraId="54CB51FE" w14:textId="77777777" w:rsidTr="3E2AE284">
        <w:trPr>
          <w:trHeight w:hRule="exact" w:val="720"/>
        </w:trPr>
        <w:tc>
          <w:tcPr>
            <w:tcW w:w="9350" w:type="dxa"/>
            <w:tcBorders>
              <w:bottom w:val="single" w:sz="4" w:space="0" w:color="auto"/>
            </w:tcBorders>
          </w:tcPr>
          <w:p w14:paraId="028C2099" w14:textId="753F52BC" w:rsidR="00482BB6" w:rsidRDefault="00BA53F6">
            <w:pPr>
              <w:rPr>
                <w:rFonts w:ascii="Georgia" w:hAnsi="Georgia"/>
              </w:rPr>
            </w:pPr>
            <w:r w:rsidRPr="3E2AE284">
              <w:rPr>
                <w:rFonts w:ascii="Georgia" w:hAnsi="Georgia"/>
              </w:rPr>
              <w:t xml:space="preserve">     Recommendation:</w:t>
            </w:r>
            <w:r w:rsidR="38E29CFA" w:rsidRPr="3E2AE284">
              <w:rPr>
                <w:rFonts w:ascii="Georgia" w:hAnsi="Georgia"/>
              </w:rPr>
              <w:t xml:space="preserve"> Proceed</w:t>
            </w:r>
            <w:r w:rsidR="378D5916" w:rsidRPr="3E2AE284">
              <w:rPr>
                <w:rFonts w:ascii="Georgia" w:hAnsi="Georgia"/>
              </w:rPr>
              <w:t xml:space="preserve"> with next step.</w:t>
            </w:r>
          </w:p>
        </w:tc>
      </w:tr>
      <w:tr w:rsidR="00482BB6" w14:paraId="27CD46F2" w14:textId="77777777" w:rsidTr="3E2AE284">
        <w:trPr>
          <w:trHeight w:val="350"/>
        </w:trPr>
        <w:tc>
          <w:tcPr>
            <w:tcW w:w="9350" w:type="dxa"/>
            <w:shd w:val="clear" w:color="auto" w:fill="F4B083" w:themeFill="accent2" w:themeFillTint="99"/>
            <w:vAlign w:val="center"/>
          </w:tcPr>
          <w:p w14:paraId="171550E6" w14:textId="1F05F643" w:rsidR="00482BB6" w:rsidRDefault="003A7B7E">
            <w:pPr>
              <w:rPr>
                <w:rFonts w:ascii="Georgia" w:hAnsi="Georgia"/>
                <w:b/>
                <w:bCs/>
              </w:rPr>
            </w:pPr>
            <w:r>
              <w:rPr>
                <w:rFonts w:ascii="Georgia" w:hAnsi="Georgia"/>
                <w:b/>
                <w:bCs/>
              </w:rPr>
              <w:t>College Academic Senate</w:t>
            </w:r>
          </w:p>
        </w:tc>
      </w:tr>
      <w:tr w:rsidR="00482BB6" w14:paraId="4B4092C5" w14:textId="77777777" w:rsidTr="3E2AE284">
        <w:trPr>
          <w:trHeight w:hRule="exact" w:val="1584"/>
        </w:trPr>
        <w:tc>
          <w:tcPr>
            <w:tcW w:w="9350" w:type="dxa"/>
          </w:tcPr>
          <w:p w14:paraId="09277F05" w14:textId="77777777" w:rsidR="00482BB6" w:rsidRDefault="00BA53F6">
            <w:pPr>
              <w:rPr>
                <w:rFonts w:ascii="Georgia" w:hAnsi="Georgia"/>
              </w:rPr>
            </w:pPr>
            <w:r>
              <w:rPr>
                <w:rFonts w:ascii="Georgia" w:hAnsi="Georgia"/>
              </w:rPr>
              <w:t xml:space="preserve">     Discussion:</w:t>
            </w:r>
          </w:p>
        </w:tc>
      </w:tr>
      <w:tr w:rsidR="00482BB6" w14:paraId="74877BE6" w14:textId="77777777" w:rsidTr="3E2AE284">
        <w:trPr>
          <w:trHeight w:hRule="exact" w:val="720"/>
        </w:trPr>
        <w:tc>
          <w:tcPr>
            <w:tcW w:w="9350" w:type="dxa"/>
          </w:tcPr>
          <w:p w14:paraId="074B7300" w14:textId="77777777" w:rsidR="00482BB6" w:rsidRDefault="00BA53F6">
            <w:pPr>
              <w:rPr>
                <w:rFonts w:ascii="Georgia" w:hAnsi="Georgia"/>
              </w:rPr>
            </w:pPr>
            <w:r>
              <w:rPr>
                <w:rFonts w:ascii="Georgia" w:hAnsi="Georgia"/>
              </w:rPr>
              <w:t xml:space="preserve">     Recommendation:</w:t>
            </w:r>
          </w:p>
        </w:tc>
      </w:tr>
    </w:tbl>
    <w:p w14:paraId="0CA9098A" w14:textId="49AC9E19" w:rsidR="00482BB6" w:rsidRDefault="00482BB6">
      <w:pPr>
        <w:rPr>
          <w:rFonts w:ascii="Georgia" w:hAnsi="Georgia"/>
        </w:rPr>
      </w:pPr>
    </w:p>
    <w:p w14:paraId="7E3A0B35" w14:textId="0553EE01" w:rsidR="001C13A1" w:rsidRDefault="001C13A1">
      <w:pPr>
        <w:rPr>
          <w:rFonts w:ascii="Georgia" w:hAnsi="Georgia"/>
        </w:rPr>
      </w:pPr>
      <w:r>
        <w:rPr>
          <w:rFonts w:ascii="Calibri" w:hAnsi="Calibri" w:cs="Calibri"/>
          <w:color w:val="000000"/>
          <w:sz w:val="28"/>
          <w:szCs w:val="28"/>
          <w:bdr w:val="none" w:sz="0" w:space="0" w:color="auto" w:frame="1"/>
          <w:shd w:val="clear" w:color="auto" w:fill="FFFFFF"/>
        </w:rPr>
        <w:t>Cal. Code Regs. Title. 5 § 55063: </w:t>
      </w:r>
      <w:r>
        <w:rPr>
          <w:rFonts w:ascii="Calibri" w:hAnsi="Calibri" w:cs="Calibri"/>
          <w:color w:val="201F1E"/>
          <w:sz w:val="28"/>
          <w:szCs w:val="28"/>
          <w:bdr w:val="none" w:sz="0" w:space="0" w:color="auto" w:frame="1"/>
          <w:shd w:val="clear" w:color="auto" w:fill="FFFFFF"/>
        </w:rPr>
        <w:t> "</w:t>
      </w:r>
      <w:r>
        <w:rPr>
          <w:rFonts w:ascii="Calibri" w:hAnsi="Calibri" w:cs="Calibri"/>
          <w:color w:val="212121"/>
          <w:sz w:val="28"/>
          <w:szCs w:val="28"/>
          <w:bdr w:val="none" w:sz="0" w:space="0" w:color="auto" w:frame="1"/>
          <w:shd w:val="clear" w:color="auto" w:fill="FFFFFF"/>
        </w:rPr>
        <w:t>Effective for all students admitted to a community college for the Fall 2019 term or any term thereafter, competence in mathematics shall be demonstrated by obtaining a satisfactory grade in a mathematics course at or above the level of the course typically known as Intermediate Algebra (either Intermediate Algebra or another mathematics course at or above the same level, with the same rigor and with Elementary Algebra as a prerequisite, approved locally) </w:t>
      </w:r>
      <w:r>
        <w:rPr>
          <w:rFonts w:ascii="Calibri" w:hAnsi="Calibri" w:cs="Calibri"/>
          <w:b/>
          <w:bCs/>
          <w:color w:val="212121"/>
          <w:sz w:val="28"/>
          <w:szCs w:val="28"/>
          <w:bdr w:val="none" w:sz="0" w:space="0" w:color="auto" w:frame="1"/>
          <w:shd w:val="clear" w:color="auto" w:fill="FFFFFF"/>
        </w:rPr>
        <w:t>or by demonstrating competency that is comparable to satisfactory completion of a mathematics course at or above the level of the course typically known as Intermediate Algebra, determined locally. Satisfactory completion of a mathematics course at or above the level of Intermediate Algebra shall satisfy both this competency requirement</w:t>
      </w:r>
      <w:r>
        <w:rPr>
          <w:rFonts w:ascii="Calibri" w:hAnsi="Calibri" w:cs="Calibri"/>
          <w:color w:val="212121"/>
          <w:sz w:val="28"/>
          <w:szCs w:val="28"/>
          <w:bdr w:val="none" w:sz="0" w:space="0" w:color="auto" w:frame="1"/>
          <w:shd w:val="clear" w:color="auto" w:fill="FFFFFF"/>
        </w:rPr>
        <w:t> and the coursework requirement set forth in subdivision (b)(1)(D)(ii) of this section."</w:t>
      </w:r>
      <w:r>
        <w:rPr>
          <w:rFonts w:ascii="Calibri" w:hAnsi="Calibri" w:cs="Calibri"/>
          <w:color w:val="201F1E"/>
          <w:sz w:val="28"/>
          <w:szCs w:val="28"/>
          <w:bdr w:val="none" w:sz="0" w:space="0" w:color="auto" w:frame="1"/>
          <w:shd w:val="clear" w:color="auto" w:fill="FFFFFF"/>
        </w:rPr>
        <w:t> </w:t>
      </w:r>
    </w:p>
    <w:sectPr w:rsidR="001C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B6"/>
    <w:rsid w:val="00030816"/>
    <w:rsid w:val="000766D6"/>
    <w:rsid w:val="001C13A1"/>
    <w:rsid w:val="002A7A32"/>
    <w:rsid w:val="003A7B7E"/>
    <w:rsid w:val="00482BB6"/>
    <w:rsid w:val="004C6740"/>
    <w:rsid w:val="00566049"/>
    <w:rsid w:val="00632D32"/>
    <w:rsid w:val="00745BCF"/>
    <w:rsid w:val="00AD39DE"/>
    <w:rsid w:val="00B14EED"/>
    <w:rsid w:val="00BA53F6"/>
    <w:rsid w:val="00DB6EFC"/>
    <w:rsid w:val="00F42B43"/>
    <w:rsid w:val="08A43F87"/>
    <w:rsid w:val="121BA5BA"/>
    <w:rsid w:val="15DCF064"/>
    <w:rsid w:val="16DFCBAF"/>
    <w:rsid w:val="2E3D5FE0"/>
    <w:rsid w:val="3658F7FB"/>
    <w:rsid w:val="378D5916"/>
    <w:rsid w:val="3793CD82"/>
    <w:rsid w:val="38E29CFA"/>
    <w:rsid w:val="39DF98D7"/>
    <w:rsid w:val="3E2AE284"/>
    <w:rsid w:val="414DA89C"/>
    <w:rsid w:val="4BB2766D"/>
    <w:rsid w:val="52171BEC"/>
    <w:rsid w:val="595922F0"/>
    <w:rsid w:val="59C8127B"/>
    <w:rsid w:val="5AD63CFC"/>
    <w:rsid w:val="5AF4F351"/>
    <w:rsid w:val="6D7309C2"/>
    <w:rsid w:val="7086C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C3B4"/>
  <w15:chartTrackingRefBased/>
  <w15:docId w15:val="{134446F0-66D2-40F5-BACA-3C58E244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Georgia" w:eastAsiaTheme="majorEastAsia" w:hAnsi="Georgia" w:cstheme="majorBidi"/>
      <w:sz w:val="24"/>
      <w:szCs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Tufts</dc:creator>
  <cp:keywords/>
  <dc:description/>
  <cp:lastModifiedBy>Nancy Cayton</cp:lastModifiedBy>
  <cp:revision>2</cp:revision>
  <dcterms:created xsi:type="dcterms:W3CDTF">2022-10-20T19:09:00Z</dcterms:created>
  <dcterms:modified xsi:type="dcterms:W3CDTF">2022-10-20T19:09:00Z</dcterms:modified>
</cp:coreProperties>
</file>