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572" w:rsidRDefault="00E83572" w:rsidP="00E83572">
      <w:pPr>
        <w:jc w:val="center"/>
        <w:rPr>
          <w:sz w:val="24"/>
          <w:szCs w:val="24"/>
        </w:rPr>
      </w:pPr>
      <w:bookmarkStart w:id="0" w:name="_GoBack"/>
      <w:bookmarkEnd w:id="0"/>
    </w:p>
    <w:p w:rsidR="00E83572" w:rsidRDefault="00E83572" w:rsidP="00E83572">
      <w:pPr>
        <w:jc w:val="center"/>
        <w:rPr>
          <w:sz w:val="24"/>
          <w:szCs w:val="24"/>
        </w:rPr>
      </w:pPr>
      <w:r>
        <w:rPr>
          <w:sz w:val="24"/>
          <w:szCs w:val="24"/>
        </w:rPr>
        <w:t>BCC</w:t>
      </w:r>
    </w:p>
    <w:p w:rsidR="00E83572" w:rsidRDefault="00E83572" w:rsidP="00E83572">
      <w:pPr>
        <w:jc w:val="center"/>
        <w:rPr>
          <w:sz w:val="24"/>
          <w:szCs w:val="24"/>
        </w:rPr>
      </w:pPr>
      <w:r w:rsidRPr="00B82BCB">
        <w:rPr>
          <w:sz w:val="24"/>
          <w:szCs w:val="24"/>
        </w:rPr>
        <w:t xml:space="preserve">Fall Student Course Success Rates </w:t>
      </w:r>
    </w:p>
    <w:p w:rsidR="00E83572" w:rsidRPr="00B82BCB" w:rsidRDefault="00E83572" w:rsidP="00E83572">
      <w:pPr>
        <w:jc w:val="center"/>
        <w:rPr>
          <w:sz w:val="24"/>
          <w:szCs w:val="24"/>
        </w:rPr>
      </w:pPr>
      <w:r w:rsidRPr="00B82BCB">
        <w:rPr>
          <w:sz w:val="24"/>
          <w:szCs w:val="24"/>
        </w:rPr>
        <w:t>by</w:t>
      </w:r>
      <w:r>
        <w:rPr>
          <w:sz w:val="24"/>
          <w:szCs w:val="24"/>
        </w:rPr>
        <w:t xml:space="preserve"> Age, Gender, and </w:t>
      </w:r>
      <w:r w:rsidRPr="00B82BCB">
        <w:rPr>
          <w:sz w:val="24"/>
          <w:szCs w:val="24"/>
        </w:rPr>
        <w:t>Race/Ethnicity</w:t>
      </w:r>
      <w:r>
        <w:rPr>
          <w:sz w:val="24"/>
          <w:szCs w:val="24"/>
        </w:rPr>
        <w:t xml:space="preserve">, </w:t>
      </w:r>
      <w:r w:rsidRPr="00B82BCB">
        <w:rPr>
          <w:sz w:val="24"/>
          <w:szCs w:val="24"/>
        </w:rPr>
        <w:t>Fall 2008 – Fall 2013</w:t>
      </w:r>
    </w:p>
    <w:p w:rsidR="00E83572" w:rsidRDefault="00E83572" w:rsidP="00E83572"/>
    <w:p w:rsidR="00E83572" w:rsidRDefault="00E83572" w:rsidP="00E83572">
      <w:pPr>
        <w:jc w:val="center"/>
      </w:pPr>
      <w:r>
        <w:rPr>
          <w:noProof/>
        </w:rPr>
        <w:drawing>
          <wp:inline distT="0" distB="0" distL="0" distR="0" wp14:anchorId="62F083CA" wp14:editId="3FFCD7CB">
            <wp:extent cx="4308475" cy="1718165"/>
            <wp:effectExtent l="0" t="0" r="15875" b="1587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E83572" w:rsidRDefault="00E83572" w:rsidP="00E83572">
      <w:pPr>
        <w:jc w:val="center"/>
      </w:pPr>
      <w:r>
        <w:rPr>
          <w:noProof/>
        </w:rPr>
        <w:drawing>
          <wp:inline distT="0" distB="0" distL="0" distR="0" wp14:anchorId="61EF4BE7" wp14:editId="343FCFDC">
            <wp:extent cx="4308475" cy="1700893"/>
            <wp:effectExtent l="0" t="0" r="15875" b="1397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83572" w:rsidRDefault="00E83572" w:rsidP="00E83572">
      <w:pPr>
        <w:jc w:val="center"/>
      </w:pPr>
      <w:r>
        <w:rPr>
          <w:noProof/>
        </w:rPr>
        <w:drawing>
          <wp:inline distT="0" distB="0" distL="0" distR="0" wp14:anchorId="0F15F6D4" wp14:editId="58AAD691">
            <wp:extent cx="4308475" cy="1831340"/>
            <wp:effectExtent l="0" t="0" r="15875" b="1651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83572" w:rsidRPr="004C2274" w:rsidRDefault="00E83572" w:rsidP="00E83572">
      <w:pPr>
        <w:rPr>
          <w:rFonts w:asciiTheme="minorHAnsi" w:hAnsiTheme="minorHAnsi" w:cstheme="minorHAnsi"/>
          <w:color w:val="000000"/>
          <w:sz w:val="20"/>
          <w:szCs w:val="16"/>
        </w:rPr>
      </w:pPr>
      <w:r w:rsidRPr="004C2274">
        <w:rPr>
          <w:rFonts w:asciiTheme="minorHAnsi" w:hAnsiTheme="minorHAnsi" w:cstheme="minorHAnsi"/>
          <w:color w:val="000000"/>
          <w:sz w:val="20"/>
          <w:szCs w:val="16"/>
        </w:rPr>
        <w:t>Source: PCCD</w:t>
      </w:r>
      <w:r>
        <w:rPr>
          <w:rFonts w:asciiTheme="minorHAnsi" w:hAnsiTheme="minorHAnsi" w:cstheme="minorHAnsi"/>
          <w:color w:val="000000"/>
          <w:sz w:val="20"/>
          <w:szCs w:val="16"/>
        </w:rPr>
        <w:t>, Office of Institutional Research</w:t>
      </w:r>
      <w:r w:rsidRPr="004C2274">
        <w:rPr>
          <w:rFonts w:asciiTheme="minorHAnsi" w:hAnsiTheme="minorHAnsi" w:cstheme="minorHAnsi"/>
          <w:color w:val="000000"/>
          <w:sz w:val="20"/>
          <w:szCs w:val="16"/>
        </w:rPr>
        <w:t xml:space="preserve">. </w:t>
      </w:r>
      <w:r>
        <w:rPr>
          <w:rFonts w:asciiTheme="minorHAnsi" w:hAnsiTheme="minorHAnsi" w:cstheme="minorHAnsi"/>
          <w:color w:val="000000"/>
          <w:sz w:val="20"/>
          <w:szCs w:val="16"/>
        </w:rPr>
        <w:t xml:space="preserve">The PCCD </w:t>
      </w:r>
      <w:r w:rsidRPr="004C2274">
        <w:rPr>
          <w:rFonts w:asciiTheme="minorHAnsi" w:hAnsiTheme="minorHAnsi" w:cstheme="minorHAnsi"/>
          <w:color w:val="000000"/>
          <w:sz w:val="20"/>
          <w:szCs w:val="16"/>
        </w:rPr>
        <w:t xml:space="preserve">Success Rate </w:t>
      </w:r>
      <w:r>
        <w:rPr>
          <w:rFonts w:asciiTheme="minorHAnsi" w:hAnsiTheme="minorHAnsi" w:cstheme="minorHAnsi"/>
          <w:color w:val="000000"/>
          <w:sz w:val="20"/>
          <w:szCs w:val="16"/>
        </w:rPr>
        <w:t xml:space="preserve">is defined as the percentage </w:t>
      </w:r>
      <w:r w:rsidRPr="004C2274">
        <w:rPr>
          <w:rFonts w:asciiTheme="minorHAnsi" w:hAnsiTheme="minorHAnsi" w:cstheme="minorHAnsi"/>
          <w:color w:val="000000"/>
          <w:sz w:val="20"/>
          <w:szCs w:val="16"/>
        </w:rPr>
        <w:t>of students who recei</w:t>
      </w:r>
      <w:r>
        <w:rPr>
          <w:rFonts w:asciiTheme="minorHAnsi" w:hAnsiTheme="minorHAnsi" w:cstheme="minorHAnsi"/>
          <w:color w:val="000000"/>
          <w:sz w:val="20"/>
          <w:szCs w:val="16"/>
        </w:rPr>
        <w:t>ved a passing/satisfactory grade, (N</w:t>
      </w:r>
      <w:r w:rsidRPr="004C2274">
        <w:rPr>
          <w:rFonts w:asciiTheme="minorHAnsi" w:hAnsiTheme="minorHAnsi" w:cstheme="minorHAnsi"/>
          <w:color w:val="000000"/>
          <w:sz w:val="20"/>
          <w:szCs w:val="16"/>
        </w:rPr>
        <w:t>umerator: A, B, C, CR, IA, IB, IC, IPP, P</w:t>
      </w:r>
      <w:r>
        <w:rPr>
          <w:rFonts w:asciiTheme="minorHAnsi" w:hAnsiTheme="minorHAnsi" w:cstheme="minorHAnsi"/>
          <w:color w:val="000000"/>
          <w:sz w:val="20"/>
          <w:szCs w:val="16"/>
        </w:rPr>
        <w:t xml:space="preserve">. Denominator: </w:t>
      </w:r>
      <w:r w:rsidRPr="004C2274">
        <w:rPr>
          <w:rFonts w:asciiTheme="minorHAnsi" w:hAnsiTheme="minorHAnsi" w:cstheme="minorHAnsi"/>
          <w:color w:val="000000"/>
          <w:sz w:val="20"/>
          <w:szCs w:val="16"/>
        </w:rPr>
        <w:t>A, B, C, CR, D, F, FW, IA, IB, IC, ID, IF, INP, IPP, P, NC, NP, W</w:t>
      </w:r>
      <w:r>
        <w:rPr>
          <w:rFonts w:asciiTheme="minorHAnsi" w:hAnsiTheme="minorHAnsi" w:cstheme="minorHAnsi"/>
          <w:color w:val="000000"/>
          <w:sz w:val="20"/>
          <w:szCs w:val="16"/>
        </w:rPr>
        <w:t xml:space="preserve">). </w:t>
      </w:r>
    </w:p>
    <w:p w:rsidR="00E83572" w:rsidRDefault="00E83572" w:rsidP="00E83572"/>
    <w:p w:rsidR="00EB32A8" w:rsidRDefault="00EB32A8"/>
    <w:sectPr w:rsidR="00EB32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572"/>
    <w:rsid w:val="00E83572"/>
    <w:rsid w:val="00EB32A8"/>
    <w:rsid w:val="00FB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572"/>
    <w:pPr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5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572"/>
    <w:pPr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5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306963800760713"/>
          <c:y val="0.14909404894205841"/>
          <c:w val="0.63021897547977745"/>
          <c:h val="0.71257999086234447"/>
        </c:manualLayout>
      </c:layout>
      <c:lineChart>
        <c:grouping val="standard"/>
        <c:varyColors val="0"/>
        <c:ser>
          <c:idx val="0"/>
          <c:order val="0"/>
          <c:tx>
            <c:strRef>
              <c:f>CrsSucc!$A$6</c:f>
              <c:strCache>
                <c:ptCount val="1"/>
                <c:pt idx="0">
                  <c:v>16 &amp; under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CrsSucc!$I$6:$N$6</c:f>
              <c:numCache>
                <c:formatCode>0%</c:formatCode>
                <c:ptCount val="6"/>
                <c:pt idx="0">
                  <c:v>0.6785714285714286</c:v>
                </c:pt>
                <c:pt idx="1">
                  <c:v>0.9</c:v>
                </c:pt>
                <c:pt idx="2">
                  <c:v>0.96491228070175439</c:v>
                </c:pt>
                <c:pt idx="3">
                  <c:v>0.88</c:v>
                </c:pt>
                <c:pt idx="4">
                  <c:v>0.90476190476190477</c:v>
                </c:pt>
                <c:pt idx="5">
                  <c:v>0.7931034482758621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CrsSucc!$A$7</c:f>
              <c:strCache>
                <c:ptCount val="1"/>
                <c:pt idx="0">
                  <c:v>16-18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CrsSucc!$I$7:$N$7</c:f>
              <c:numCache>
                <c:formatCode>0%</c:formatCode>
                <c:ptCount val="6"/>
                <c:pt idx="0">
                  <c:v>0.59328358208955223</c:v>
                </c:pt>
                <c:pt idx="1">
                  <c:v>0.68992718446601942</c:v>
                </c:pt>
                <c:pt idx="2">
                  <c:v>0.67711370262390669</c:v>
                </c:pt>
                <c:pt idx="3">
                  <c:v>0.64472753007784855</c:v>
                </c:pt>
                <c:pt idx="4">
                  <c:v>0.66074074074074074</c:v>
                </c:pt>
                <c:pt idx="5">
                  <c:v>0.65329512893982811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CrsSucc!$A$8</c:f>
              <c:strCache>
                <c:ptCount val="1"/>
                <c:pt idx="0">
                  <c:v>19-24</c:v>
                </c:pt>
              </c:strCache>
            </c:strRef>
          </c:tx>
          <c:spPr>
            <a:ln w="25400"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solidFill>
                      <a:schemeClr val="accent3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CrsSucc!$I$8:$N$8</c:f>
              <c:numCache>
                <c:formatCode>0%</c:formatCode>
                <c:ptCount val="6"/>
                <c:pt idx="0">
                  <c:v>0.60246120920278223</c:v>
                </c:pt>
                <c:pt idx="1">
                  <c:v>0.60701860535471186</c:v>
                </c:pt>
                <c:pt idx="2">
                  <c:v>0.6475279106858054</c:v>
                </c:pt>
                <c:pt idx="3">
                  <c:v>0.62966657167284124</c:v>
                </c:pt>
                <c:pt idx="4">
                  <c:v>0.62122836575279528</c:v>
                </c:pt>
                <c:pt idx="5">
                  <c:v>0.62349098139468828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CrsSucc!$A$9</c:f>
              <c:strCache>
                <c:ptCount val="1"/>
                <c:pt idx="0">
                  <c:v>25-29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CrsSucc!$I$9:$N$9</c:f>
              <c:numCache>
                <c:formatCode>0%</c:formatCode>
                <c:ptCount val="6"/>
                <c:pt idx="0">
                  <c:v>0.64586428925210504</c:v>
                </c:pt>
                <c:pt idx="1">
                  <c:v>0.67461044912923918</c:v>
                </c:pt>
                <c:pt idx="2">
                  <c:v>0.70482199188823791</c:v>
                </c:pt>
                <c:pt idx="3">
                  <c:v>0.68537590113285274</c:v>
                </c:pt>
                <c:pt idx="4">
                  <c:v>0.69145569620253167</c:v>
                </c:pt>
                <c:pt idx="5">
                  <c:v>0.66060606060606064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CrsSucc!$A$10</c:f>
              <c:strCache>
                <c:ptCount val="1"/>
                <c:pt idx="0">
                  <c:v>30-34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CrsSucc!$I$10:$N$10</c:f>
              <c:numCache>
                <c:formatCode>0%</c:formatCode>
                <c:ptCount val="6"/>
                <c:pt idx="0">
                  <c:v>0.65414258188824659</c:v>
                </c:pt>
                <c:pt idx="1">
                  <c:v>0.67838765008576329</c:v>
                </c:pt>
                <c:pt idx="2">
                  <c:v>0.70961538461538465</c:v>
                </c:pt>
                <c:pt idx="3">
                  <c:v>0.69731489015459724</c:v>
                </c:pt>
                <c:pt idx="4">
                  <c:v>0.69886363636363635</c:v>
                </c:pt>
                <c:pt idx="5">
                  <c:v>0.68677685950413225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CrsSucc!$A$11</c:f>
              <c:strCache>
                <c:ptCount val="1"/>
                <c:pt idx="0">
                  <c:v>35-54 </c:v>
                </c:pt>
              </c:strCache>
            </c:strRef>
          </c:tx>
          <c:spPr>
            <a:ln w="25400"/>
          </c:spPr>
          <c:marker>
            <c:symbol val="none"/>
          </c:marker>
          <c:val>
            <c:numRef>
              <c:f>CrsSucc!$I$11:$N$11</c:f>
              <c:numCache>
                <c:formatCode>0%</c:formatCode>
                <c:ptCount val="6"/>
                <c:pt idx="0">
                  <c:v>0.67246963562753037</c:v>
                </c:pt>
                <c:pt idx="1">
                  <c:v>0.67695390781563125</c:v>
                </c:pt>
                <c:pt idx="2">
                  <c:v>0.71537726838586435</c:v>
                </c:pt>
                <c:pt idx="3">
                  <c:v>0.71117021276595749</c:v>
                </c:pt>
                <c:pt idx="4">
                  <c:v>0.70916754478398314</c:v>
                </c:pt>
                <c:pt idx="5">
                  <c:v>0.68846549948506697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CrsSucc!$A$12</c:f>
              <c:strCache>
                <c:ptCount val="1"/>
                <c:pt idx="0">
                  <c:v>55-64</c:v>
                </c:pt>
              </c:strCache>
            </c:strRef>
          </c:tx>
          <c:spPr>
            <a:ln w="25400"/>
          </c:spPr>
          <c:marker>
            <c:symbol val="none"/>
          </c:marker>
          <c:val>
            <c:numRef>
              <c:f>CrsSucc!$I$12:$N$12</c:f>
              <c:numCache>
                <c:formatCode>0%</c:formatCode>
                <c:ptCount val="6"/>
                <c:pt idx="0">
                  <c:v>0.71</c:v>
                </c:pt>
                <c:pt idx="1">
                  <c:v>0.68663594470046085</c:v>
                </c:pt>
                <c:pt idx="2">
                  <c:v>0.7315315315315315</c:v>
                </c:pt>
                <c:pt idx="3">
                  <c:v>0.66146993318485525</c:v>
                </c:pt>
                <c:pt idx="4">
                  <c:v>0.6508728179551122</c:v>
                </c:pt>
                <c:pt idx="5">
                  <c:v>0.64225941422594146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CrsSucc!$A$13</c:f>
              <c:strCache>
                <c:ptCount val="1"/>
                <c:pt idx="0">
                  <c:v>65 &amp; Above </c:v>
                </c:pt>
              </c:strCache>
            </c:strRef>
          </c:tx>
          <c:spPr>
            <a:ln w="25400"/>
          </c:spPr>
          <c:marker>
            <c:symbol val="none"/>
          </c:marker>
          <c:val>
            <c:numRef>
              <c:f>CrsSucc!$I$13:$N$13</c:f>
              <c:numCache>
                <c:formatCode>0%</c:formatCode>
                <c:ptCount val="6"/>
                <c:pt idx="0">
                  <c:v>0.7455357142857143</c:v>
                </c:pt>
                <c:pt idx="1">
                  <c:v>0.76954732510288071</c:v>
                </c:pt>
                <c:pt idx="2">
                  <c:v>0.76639344262295084</c:v>
                </c:pt>
                <c:pt idx="3">
                  <c:v>0.77844311377245512</c:v>
                </c:pt>
                <c:pt idx="4">
                  <c:v>0.81481481481481477</c:v>
                </c:pt>
                <c:pt idx="5">
                  <c:v>0.77114427860696522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150016"/>
        <c:axId val="68151552"/>
      </c:lineChart>
      <c:catAx>
        <c:axId val="68150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68151552"/>
        <c:crosses val="autoZero"/>
        <c:auto val="1"/>
        <c:lblAlgn val="ctr"/>
        <c:lblOffset val="100"/>
        <c:noMultiLvlLbl val="0"/>
      </c:catAx>
      <c:valAx>
        <c:axId val="68151552"/>
        <c:scaling>
          <c:orientation val="minMax"/>
          <c:max val="1"/>
          <c:min val="0.5"/>
        </c:scaling>
        <c:delete val="0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68150016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74444252316654969"/>
          <c:y val="0.1393678721193832"/>
          <c:w val="0.23397718631178721"/>
          <c:h val="0.76269408412624762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374900631894128E-2"/>
          <c:y val="0.15661847879667495"/>
          <c:w val="0.67956504331579037"/>
          <c:h val="0.72729971844201857"/>
        </c:manualLayout>
      </c:layout>
      <c:lineChart>
        <c:grouping val="standard"/>
        <c:varyColors val="0"/>
        <c:ser>
          <c:idx val="0"/>
          <c:order val="0"/>
          <c:tx>
            <c:strRef>
              <c:f>CrsSucc!$A$15</c:f>
              <c:strCache>
                <c:ptCount val="1"/>
                <c:pt idx="0">
                  <c:v>Female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CrsSucc!$I$15:$N$15</c:f>
              <c:numCache>
                <c:formatCode>0%</c:formatCode>
                <c:ptCount val="6"/>
                <c:pt idx="0">
                  <c:v>0.65543273119439205</c:v>
                </c:pt>
                <c:pt idx="1">
                  <c:v>0.66841591408347567</c:v>
                </c:pt>
                <c:pt idx="2">
                  <c:v>0.69887320295298538</c:v>
                </c:pt>
                <c:pt idx="3">
                  <c:v>0.66768292682926833</c:v>
                </c:pt>
                <c:pt idx="4">
                  <c:v>0.66761242729465176</c:v>
                </c:pt>
                <c:pt idx="5">
                  <c:v>0.65163502109704641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CrsSucc!$A$16</c:f>
              <c:strCache>
                <c:ptCount val="1"/>
                <c:pt idx="0">
                  <c:v>Male</c:v>
                </c:pt>
              </c:strCache>
            </c:strRef>
          </c:tx>
          <c:spPr>
            <a:ln w="25400"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solidFill>
                      <a:schemeClr val="accent2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CrsSucc!$I$16:$N$16</c:f>
              <c:numCache>
                <c:formatCode>0%</c:formatCode>
                <c:ptCount val="6"/>
                <c:pt idx="0">
                  <c:v>0.60468468468468473</c:v>
                </c:pt>
                <c:pt idx="1">
                  <c:v>0.6257570927637871</c:v>
                </c:pt>
                <c:pt idx="2">
                  <c:v>0.65350877192982459</c:v>
                </c:pt>
                <c:pt idx="3">
                  <c:v>0.64414715719063542</c:v>
                </c:pt>
                <c:pt idx="4">
                  <c:v>0.64423413950227826</c:v>
                </c:pt>
                <c:pt idx="5">
                  <c:v>0.6430094425830033</c:v>
                </c:pt>
              </c:numCache>
            </c:numRef>
          </c:val>
          <c:smooth val="0"/>
        </c:ser>
        <c:ser>
          <c:idx val="4"/>
          <c:order val="2"/>
          <c:tx>
            <c:strRef>
              <c:f>CrsSucc!$A$17</c:f>
              <c:strCache>
                <c:ptCount val="1"/>
                <c:pt idx="0">
                  <c:v>Unknown Gender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CrsSucc!$I$17:$N$17</c:f>
              <c:numCache>
                <c:formatCode>0%</c:formatCode>
                <c:ptCount val="6"/>
                <c:pt idx="0">
                  <c:v>0.60144927536231885</c:v>
                </c:pt>
                <c:pt idx="1">
                  <c:v>0.68055555555555558</c:v>
                </c:pt>
                <c:pt idx="2">
                  <c:v>0.70598006644518274</c:v>
                </c:pt>
                <c:pt idx="3">
                  <c:v>0.69282136894824708</c:v>
                </c:pt>
                <c:pt idx="4">
                  <c:v>0.6684587813620072</c:v>
                </c:pt>
                <c:pt idx="5">
                  <c:v>0.68018720748829953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989696"/>
        <c:axId val="94999680"/>
      </c:lineChart>
      <c:catAx>
        <c:axId val="9498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94999680"/>
        <c:crosses val="autoZero"/>
        <c:auto val="1"/>
        <c:lblAlgn val="ctr"/>
        <c:lblOffset val="100"/>
        <c:noMultiLvlLbl val="0"/>
      </c:catAx>
      <c:valAx>
        <c:axId val="94999680"/>
        <c:scaling>
          <c:orientation val="minMax"/>
          <c:max val="0.75000000000000089"/>
          <c:min val="0.55000000000000004"/>
        </c:scaling>
        <c:delete val="0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94989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42673572647526"/>
          <c:y val="0.27614034300694845"/>
          <c:w val="0.18892782117770676"/>
          <c:h val="0.38812665730433954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1288428529378731E-2"/>
          <c:y val="0.11454415781315946"/>
          <c:w val="0.56790276196587219"/>
          <c:h val="0.76022541892060091"/>
        </c:manualLayout>
      </c:layout>
      <c:lineChart>
        <c:grouping val="standard"/>
        <c:varyColors val="0"/>
        <c:ser>
          <c:idx val="0"/>
          <c:order val="0"/>
          <c:tx>
            <c:strRef>
              <c:f>CrsSucc!$A$19</c:f>
              <c:strCache>
                <c:ptCount val="1"/>
                <c:pt idx="0">
                  <c:v>African American</c:v>
                </c:pt>
              </c:strCache>
            </c:strRef>
          </c:tx>
          <c:spPr>
            <a:ln w="25400"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solidFill>
                      <a:schemeClr val="accent1">
                        <a:lumMod val="75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CrsSucc!$I$19:$N$19</c:f>
              <c:numCache>
                <c:formatCode>0%</c:formatCode>
                <c:ptCount val="6"/>
                <c:pt idx="0">
                  <c:v>0.47707074297902596</c:v>
                </c:pt>
                <c:pt idx="1">
                  <c:v>0.47472856608011982</c:v>
                </c:pt>
                <c:pt idx="2">
                  <c:v>0.52278346873896153</c:v>
                </c:pt>
                <c:pt idx="3">
                  <c:v>0.52013888888888893</c:v>
                </c:pt>
                <c:pt idx="4">
                  <c:v>0.52641369047619047</c:v>
                </c:pt>
                <c:pt idx="5">
                  <c:v>0.50174703004891685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CrsSucc!$A$20</c:f>
              <c:strCache>
                <c:ptCount val="1"/>
                <c:pt idx="0">
                  <c:v>Asian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CrsSucc!$I$20:$N$20</c:f>
              <c:numCache>
                <c:formatCode>0%</c:formatCode>
                <c:ptCount val="6"/>
                <c:pt idx="0">
                  <c:v>0.7142857142857143</c:v>
                </c:pt>
                <c:pt idx="1">
                  <c:v>0.71179245283018866</c:v>
                </c:pt>
                <c:pt idx="2">
                  <c:v>0.74274047186932846</c:v>
                </c:pt>
                <c:pt idx="3">
                  <c:v>0.75470831419384476</c:v>
                </c:pt>
                <c:pt idx="4">
                  <c:v>0.75403608736942074</c:v>
                </c:pt>
                <c:pt idx="5">
                  <c:v>0.74560274560274564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CrsSucc!$A$21</c:f>
              <c:strCache>
                <c:ptCount val="1"/>
                <c:pt idx="0">
                  <c:v>Filipino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CrsSucc!$I$21:$N$21</c:f>
              <c:numCache>
                <c:formatCode>0%</c:formatCode>
                <c:ptCount val="6"/>
                <c:pt idx="0">
                  <c:v>0.66666666666666663</c:v>
                </c:pt>
                <c:pt idx="1">
                  <c:v>0.62083333333333335</c:v>
                </c:pt>
                <c:pt idx="2">
                  <c:v>0.651685393258427</c:v>
                </c:pt>
                <c:pt idx="3">
                  <c:v>0.69314079422382668</c:v>
                </c:pt>
                <c:pt idx="4">
                  <c:v>0.63829787234042556</c:v>
                </c:pt>
                <c:pt idx="5">
                  <c:v>0.66225165562913912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CrsSucc!$A$22</c:f>
              <c:strCache>
                <c:ptCount val="1"/>
                <c:pt idx="0">
                  <c:v>Hispanic</c:v>
                </c:pt>
              </c:strCache>
            </c:strRef>
          </c:tx>
          <c:spPr>
            <a:ln w="25400">
              <a:solidFill>
                <a:schemeClr val="accent2">
                  <a:lumMod val="60000"/>
                  <a:lumOff val="40000"/>
                </a:schemeClr>
              </a:solidFill>
            </a:ln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CrsSucc!$I$22:$N$22</c:f>
              <c:numCache>
                <c:formatCode>0%</c:formatCode>
                <c:ptCount val="6"/>
                <c:pt idx="0">
                  <c:v>0.60950854700854706</c:v>
                </c:pt>
                <c:pt idx="1">
                  <c:v>0.66832779623477301</c:v>
                </c:pt>
                <c:pt idx="2">
                  <c:v>0.6821005081874647</c:v>
                </c:pt>
                <c:pt idx="3">
                  <c:v>0.64460285132382888</c:v>
                </c:pt>
                <c:pt idx="4">
                  <c:v>0.6271273852501289</c:v>
                </c:pt>
                <c:pt idx="5">
                  <c:v>0.61518209741114527</c:v>
                </c:pt>
              </c:numCache>
            </c:numRef>
          </c:val>
          <c:smooth val="0"/>
        </c:ser>
        <c:ser>
          <c:idx val="7"/>
          <c:order val="4"/>
          <c:tx>
            <c:strRef>
              <c:f>CrsSucc!$A$23</c:f>
              <c:strCache>
                <c:ptCount val="1"/>
                <c:pt idx="0">
                  <c:v>Multiple</c:v>
                </c:pt>
              </c:strCache>
            </c:strRef>
          </c:tx>
          <c:spPr>
            <a:ln w="25400">
              <a:solidFill>
                <a:schemeClr val="bg2">
                  <a:lumMod val="25000"/>
                </a:schemeClr>
              </a:solidFill>
            </a:ln>
          </c:spPr>
          <c:marker>
            <c:symbol val="none"/>
          </c:marker>
          <c:val>
            <c:numRef>
              <c:f>CrsSucc!$I$23:$N$23</c:f>
              <c:numCache>
                <c:formatCode>0%</c:formatCode>
                <c:ptCount val="6"/>
                <c:pt idx="0">
                  <c:v>0.62247838616714701</c:v>
                </c:pt>
                <c:pt idx="1">
                  <c:v>0.59465020576131689</c:v>
                </c:pt>
                <c:pt idx="2">
                  <c:v>0.62611806797853309</c:v>
                </c:pt>
                <c:pt idx="3">
                  <c:v>0.62137203166226918</c:v>
                </c:pt>
                <c:pt idx="4">
                  <c:v>0.63274336283185839</c:v>
                </c:pt>
                <c:pt idx="5">
                  <c:v>0.62556458897922318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CrsSucc!$A$24</c:f>
              <c:strCache>
                <c:ptCount val="1"/>
                <c:pt idx="0">
                  <c:v>Native American/Alaskan</c:v>
                </c:pt>
              </c:strCache>
            </c:strRef>
          </c:tx>
          <c:spPr>
            <a:ln w="25400"/>
          </c:spPr>
          <c:marker>
            <c:symbol val="none"/>
          </c:marker>
          <c:cat>
            <c:strRef>
              <c:f>CrsSucc!$I$3:$N$3</c:f>
              <c:strCache>
                <c:ptCount val="6"/>
                <c:pt idx="0">
                  <c:v>Fall 08</c:v>
                </c:pt>
                <c:pt idx="1">
                  <c:v>Fall 09</c:v>
                </c:pt>
                <c:pt idx="2">
                  <c:v>Fall 10</c:v>
                </c:pt>
                <c:pt idx="3">
                  <c:v>Fall 11</c:v>
                </c:pt>
                <c:pt idx="4">
                  <c:v>Fall 12</c:v>
                </c:pt>
                <c:pt idx="5">
                  <c:v>Fall 13</c:v>
                </c:pt>
              </c:strCache>
            </c:strRef>
          </c:cat>
          <c:val>
            <c:numRef>
              <c:f>CrsSucc!$I$24:$N$24</c:f>
              <c:numCache>
                <c:formatCode>0%</c:formatCode>
                <c:ptCount val="6"/>
                <c:pt idx="0">
                  <c:v>0.61290322580645162</c:v>
                </c:pt>
                <c:pt idx="1">
                  <c:v>0.56521739130434778</c:v>
                </c:pt>
                <c:pt idx="2">
                  <c:v>0.6333333333333333</c:v>
                </c:pt>
                <c:pt idx="3">
                  <c:v>0.55714285714285716</c:v>
                </c:pt>
                <c:pt idx="4">
                  <c:v>0.60465116279069764</c:v>
                </c:pt>
                <c:pt idx="5">
                  <c:v>0.63157894736842102</c:v>
                </c:pt>
              </c:numCache>
            </c:numRef>
          </c:val>
          <c:smooth val="0"/>
        </c:ser>
        <c:ser>
          <c:idx val="5"/>
          <c:order val="6"/>
          <c:tx>
            <c:strRef>
              <c:f>CrsSucc!$A$25</c:f>
              <c:strCache>
                <c:ptCount val="1"/>
                <c:pt idx="0">
                  <c:v>Other/Non-white</c:v>
                </c:pt>
              </c:strCache>
            </c:strRef>
          </c:tx>
          <c:spPr>
            <a:ln w="25400"/>
          </c:spPr>
          <c:marker>
            <c:symbol val="none"/>
          </c:marker>
          <c:val>
            <c:numRef>
              <c:f>CrsSucc!$I$25:$N$25</c:f>
              <c:numCache>
                <c:formatCode>0%</c:formatCode>
                <c:ptCount val="6"/>
                <c:pt idx="0">
                  <c:v>0.63671875</c:v>
                </c:pt>
                <c:pt idx="1">
                  <c:v>0.62109375</c:v>
                </c:pt>
                <c:pt idx="2">
                  <c:v>0.76315789473684215</c:v>
                </c:pt>
                <c:pt idx="3">
                  <c:v>0.76363636363636367</c:v>
                </c:pt>
                <c:pt idx="4">
                  <c:v>0.84931506849315064</c:v>
                </c:pt>
                <c:pt idx="5">
                  <c:v>0.61818181818181817</c:v>
                </c:pt>
              </c:numCache>
            </c:numRef>
          </c:val>
          <c:smooth val="0"/>
        </c:ser>
        <c:ser>
          <c:idx val="8"/>
          <c:order val="7"/>
          <c:tx>
            <c:strRef>
              <c:f>CrsSucc!$A$26</c:f>
              <c:strCache>
                <c:ptCount val="1"/>
                <c:pt idx="0">
                  <c:v>Pacific Islander</c:v>
                </c:pt>
              </c:strCache>
            </c:strRef>
          </c:tx>
          <c:spPr>
            <a:ln w="25400"/>
          </c:spPr>
          <c:marker>
            <c:symbol val="none"/>
          </c:marker>
          <c:val>
            <c:numRef>
              <c:f>CrsSucc!$I$26:$N$26</c:f>
              <c:numCache>
                <c:formatCode>0%</c:formatCode>
                <c:ptCount val="6"/>
                <c:pt idx="0">
                  <c:v>0.66666666666666663</c:v>
                </c:pt>
                <c:pt idx="1">
                  <c:v>0.63076923076923075</c:v>
                </c:pt>
                <c:pt idx="2">
                  <c:v>0.69117647058823528</c:v>
                </c:pt>
                <c:pt idx="3">
                  <c:v>0.70909090909090911</c:v>
                </c:pt>
                <c:pt idx="4">
                  <c:v>0.5892857142857143</c:v>
                </c:pt>
                <c:pt idx="5">
                  <c:v>0.46341463414634149</c:v>
                </c:pt>
              </c:numCache>
            </c:numRef>
          </c:val>
          <c:smooth val="0"/>
        </c:ser>
        <c:ser>
          <c:idx val="6"/>
          <c:order val="8"/>
          <c:tx>
            <c:strRef>
              <c:f>CrsSucc!$A$27</c:f>
              <c:strCache>
                <c:ptCount val="1"/>
                <c:pt idx="0">
                  <c:v>White/Non-Hispanic</c:v>
                </c:pt>
              </c:strCache>
            </c:strRef>
          </c:tx>
          <c:spPr>
            <a:ln w="25400"/>
          </c:spPr>
          <c:marker>
            <c:symbol val="none"/>
          </c:marker>
          <c:val>
            <c:numRef>
              <c:f>CrsSucc!$I$27:$N$27</c:f>
              <c:numCache>
                <c:formatCode>0%</c:formatCode>
                <c:ptCount val="6"/>
                <c:pt idx="0">
                  <c:v>0.69960474308300391</c:v>
                </c:pt>
                <c:pt idx="1">
                  <c:v>0.7257923815062518</c:v>
                </c:pt>
                <c:pt idx="2">
                  <c:v>0.76315086782376507</c:v>
                </c:pt>
                <c:pt idx="3">
                  <c:v>0.72755158951477972</c:v>
                </c:pt>
                <c:pt idx="4">
                  <c:v>0.73309608540925264</c:v>
                </c:pt>
                <c:pt idx="5">
                  <c:v>0.73181818181818181</c:v>
                </c:pt>
              </c:numCache>
            </c:numRef>
          </c:val>
          <c:smooth val="0"/>
        </c:ser>
        <c:ser>
          <c:idx val="9"/>
          <c:order val="9"/>
          <c:tx>
            <c:strRef>
              <c:f>CrsSucc!$A$28</c:f>
              <c:strCache>
                <c:ptCount val="1"/>
                <c:pt idx="0">
                  <c:v>Unknown/Non-respondent</c:v>
                </c:pt>
              </c:strCache>
            </c:strRef>
          </c:tx>
          <c:spPr>
            <a:ln w="25400"/>
          </c:spPr>
          <c:marker>
            <c:symbol val="none"/>
          </c:marker>
          <c:val>
            <c:numRef>
              <c:f>CrsSucc!$I$28:$N$28</c:f>
              <c:numCache>
                <c:formatCode>0%</c:formatCode>
                <c:ptCount val="6"/>
                <c:pt idx="0">
                  <c:v>0.65493400377121302</c:v>
                </c:pt>
                <c:pt idx="1">
                  <c:v>0.67785065590312821</c:v>
                </c:pt>
                <c:pt idx="2">
                  <c:v>0.69977528089887642</c:v>
                </c:pt>
                <c:pt idx="3">
                  <c:v>0.66666666666666663</c:v>
                </c:pt>
                <c:pt idx="4">
                  <c:v>0.65433403805496826</c:v>
                </c:pt>
                <c:pt idx="5">
                  <c:v>0.65444287729196049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5340032"/>
        <c:axId val="115341568"/>
      </c:lineChart>
      <c:catAx>
        <c:axId val="115340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15341568"/>
        <c:crosses val="autoZero"/>
        <c:auto val="1"/>
        <c:lblAlgn val="ctr"/>
        <c:lblOffset val="100"/>
        <c:noMultiLvlLbl val="0"/>
      </c:catAx>
      <c:valAx>
        <c:axId val="115341568"/>
        <c:scaling>
          <c:orientation val="minMax"/>
          <c:max val="0.9"/>
          <c:min val="0.35000000000000031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15340032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64646039266803834"/>
          <c:y val="0.14148641623780714"/>
          <c:w val="0.35033970540684822"/>
          <c:h val="0.74797331975633152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0.14003</cdr:x>
      <cdr:y>0.02768</cdr:y>
    </cdr:from>
    <cdr:to>
      <cdr:x>0.74307</cdr:x>
      <cdr:y>0.17437</cdr:y>
    </cdr:to>
    <cdr:sp macro="" textlink="">
      <cdr:nvSpPr>
        <cdr:cNvPr id="2" name="TextBox 6"/>
        <cdr:cNvSpPr txBox="1"/>
      </cdr:nvSpPr>
      <cdr:spPr>
        <a:xfrm xmlns:a="http://schemas.openxmlformats.org/drawingml/2006/main">
          <a:off x="584643" y="50371"/>
          <a:ext cx="2517786" cy="2669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en-US" sz="1100">
              <a:latin typeface="Times New Roman" pitchFamily="18" charset="0"/>
              <a:cs typeface="Times New Roman" pitchFamily="18" charset="0"/>
            </a:rPr>
            <a:t>BCC Course Success Rates</a:t>
          </a:r>
          <a:r>
            <a:rPr lang="en-US" sz="1100" baseline="0">
              <a:latin typeface="Times New Roman" pitchFamily="18" charset="0"/>
              <a:cs typeface="Times New Roman" pitchFamily="18" charset="0"/>
            </a:rPr>
            <a:t> 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By Age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0.14563</cdr:x>
      <cdr:y>0.02282</cdr:y>
    </cdr:from>
    <cdr:to>
      <cdr:x>0.71623</cdr:x>
      <cdr:y>0.16205</cdr:y>
    </cdr:to>
    <cdr:sp macro="" textlink="">
      <cdr:nvSpPr>
        <cdr:cNvPr id="2" name="TextBox 6"/>
        <cdr:cNvSpPr txBox="1"/>
      </cdr:nvSpPr>
      <cdr:spPr>
        <a:xfrm xmlns:a="http://schemas.openxmlformats.org/drawingml/2006/main">
          <a:off x="608023" y="41713"/>
          <a:ext cx="2382319" cy="25449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en-US" sz="1100">
              <a:latin typeface="Times New Roman" pitchFamily="18" charset="0"/>
              <a:cs typeface="Times New Roman" pitchFamily="18" charset="0"/>
            </a:rPr>
            <a:t>BCC Course Success Rates</a:t>
          </a:r>
          <a:r>
            <a:rPr lang="en-US" sz="1100" baseline="0">
              <a:latin typeface="Times New Roman" pitchFamily="18" charset="0"/>
              <a:cs typeface="Times New Roman" pitchFamily="18" charset="0"/>
            </a:rPr>
            <a:t> 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By Gender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0.0627</cdr:x>
      <cdr:y>0.01062</cdr:y>
    </cdr:from>
    <cdr:to>
      <cdr:x>0.80881</cdr:x>
      <cdr:y>0.14111</cdr:y>
    </cdr:to>
    <cdr:sp macro="" textlink="">
      <cdr:nvSpPr>
        <cdr:cNvPr id="2" name="TextBox 6"/>
        <cdr:cNvSpPr txBox="1"/>
      </cdr:nvSpPr>
      <cdr:spPr>
        <a:xfrm xmlns:a="http://schemas.openxmlformats.org/drawingml/2006/main">
          <a:off x="260289" y="20780"/>
          <a:ext cx="3097497" cy="2553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en-US" sz="1100">
              <a:latin typeface="Times New Roman" pitchFamily="18" charset="0"/>
              <a:cs typeface="Times New Roman" pitchFamily="18" charset="0"/>
            </a:rPr>
            <a:t>BCC Course Success Rates</a:t>
          </a:r>
          <a:r>
            <a:rPr lang="en-US" sz="1100" baseline="0">
              <a:latin typeface="Times New Roman" pitchFamily="18" charset="0"/>
              <a:cs typeface="Times New Roman" pitchFamily="18" charset="0"/>
            </a:rPr>
            <a:t> 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By Race/Ethnicity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331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PCCD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 Chen</dc:creator>
  <cp:lastModifiedBy>Cynthia Reese</cp:lastModifiedBy>
  <cp:revision>2</cp:revision>
  <dcterms:created xsi:type="dcterms:W3CDTF">2014-10-27T18:09:00Z</dcterms:created>
  <dcterms:modified xsi:type="dcterms:W3CDTF">2014-10-27T18:09:00Z</dcterms:modified>
</cp:coreProperties>
</file>