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4" w:rsidRDefault="00EA7024" w:rsidP="00C5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50638">
        <w:rPr>
          <w:rFonts w:ascii="Times New Roman" w:hAnsi="Times New Roman" w:cs="Times New Roman"/>
          <w:sz w:val="24"/>
          <w:szCs w:val="24"/>
        </w:rPr>
        <w:t xml:space="preserve">erkeley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50638">
        <w:rPr>
          <w:rFonts w:ascii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50638">
        <w:rPr>
          <w:rFonts w:ascii="Times New Roman" w:hAnsi="Times New Roman" w:cs="Times New Roman"/>
          <w:sz w:val="24"/>
          <w:szCs w:val="24"/>
        </w:rPr>
        <w:t>ollege (BCC)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638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received a letter from ACCJC, dated </w:t>
      </w:r>
      <w:r w:rsidR="000506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ugust 17, 2015, requesting for additional information:</w:t>
      </w:r>
    </w:p>
    <w:p w:rsidR="00EA7024" w:rsidRDefault="00EA7024" w:rsidP="00C5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024" w:rsidRDefault="00EA7024" w:rsidP="00EA70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Institution-set standards for job placement rates and licensure examination passage rates for </w:t>
      </w:r>
      <w:r w:rsidRPr="00EA7024">
        <w:rPr>
          <w:rFonts w:ascii="Times New Roman" w:hAnsi="Times New Roman" w:cs="Times New Roman"/>
          <w:sz w:val="24"/>
          <w:szCs w:val="24"/>
        </w:rPr>
        <w:t xml:space="preserve">career-technical education </w:t>
      </w:r>
      <w:r>
        <w:rPr>
          <w:rFonts w:ascii="Times New Roman" w:hAnsi="Times New Roman" w:cs="Times New Roman"/>
          <w:sz w:val="24"/>
          <w:szCs w:val="24"/>
        </w:rPr>
        <w:t xml:space="preserve">(CTE) </w:t>
      </w:r>
      <w:r w:rsidRPr="00EA7024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completer</w:t>
      </w:r>
      <w:r w:rsidRPr="00EA7024">
        <w:rPr>
          <w:rFonts w:ascii="Times New Roman" w:hAnsi="Times New Roman" w:cs="Times New Roman"/>
          <w:sz w:val="24"/>
          <w:szCs w:val="24"/>
        </w:rPr>
        <w:t>s at BCC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E75544" w:rsidRDefault="00CB77C9" w:rsidP="00EA70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Placement </w:t>
      </w:r>
      <w:r w:rsidR="00EA7024" w:rsidRPr="00EA7024">
        <w:rPr>
          <w:rFonts w:ascii="Times New Roman" w:hAnsi="Times New Roman" w:cs="Times New Roman"/>
          <w:sz w:val="24"/>
          <w:szCs w:val="24"/>
        </w:rPr>
        <w:t xml:space="preserve">Rate tracking for </w:t>
      </w:r>
      <w:r w:rsidR="00E75544">
        <w:rPr>
          <w:rFonts w:ascii="Times New Roman" w:hAnsi="Times New Roman" w:cs="Times New Roman"/>
          <w:sz w:val="24"/>
          <w:szCs w:val="24"/>
        </w:rPr>
        <w:t xml:space="preserve">CTE programs </w:t>
      </w:r>
      <w:r w:rsidR="00EA7024" w:rsidRPr="00EA7024">
        <w:rPr>
          <w:rFonts w:ascii="Times New Roman" w:hAnsi="Times New Roman" w:cs="Times New Roman"/>
          <w:sz w:val="24"/>
          <w:szCs w:val="24"/>
        </w:rPr>
        <w:t>that had at least 10 program completers in 2012-13</w:t>
      </w:r>
      <w:r w:rsidR="00E75544">
        <w:rPr>
          <w:rFonts w:ascii="Times New Roman" w:hAnsi="Times New Roman" w:cs="Times New Roman"/>
          <w:sz w:val="24"/>
          <w:szCs w:val="24"/>
        </w:rPr>
        <w:t>.</w:t>
      </w:r>
    </w:p>
    <w:p w:rsidR="00377BC3" w:rsidRDefault="00377BC3" w:rsidP="00C5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58F" w:rsidRPr="00C525A6" w:rsidRDefault="00050638" w:rsidP="00C5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Responding to this request, BCC provides </w:t>
      </w:r>
      <w:r w:rsidR="00CB77C9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information as follows:</w:t>
      </w:r>
    </w:p>
    <w:p w:rsidR="00F6258F" w:rsidRPr="00C525A6" w:rsidRDefault="00F6258F" w:rsidP="00C525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2"/>
        <w:gridCol w:w="5761"/>
        <w:gridCol w:w="3207"/>
      </w:tblGrid>
      <w:tr w:rsidR="00F6258F" w:rsidRPr="00F6258F" w:rsidTr="00E75544">
        <w:trPr>
          <w:tblCellSpacing w:w="15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19c. 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Number of CTE certificates and degrees for which the institution has set a standard for licensure passage rates: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E75544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0</w:t>
            </w:r>
            <w:r>
              <w:rPr>
                <w:rStyle w:val="FootnoteReference"/>
                <w:rFonts w:ascii="Verdana" w:eastAsia="Times New Roman" w:hAnsi="Verdana" w:cs="Times New Roman"/>
                <w:color w:val="444444"/>
                <w:sz w:val="18"/>
                <w:szCs w:val="18"/>
              </w:rPr>
              <w:footnoteReference w:id="1"/>
            </w:r>
          </w:p>
        </w:tc>
      </w:tr>
      <w:tr w:rsidR="00F6258F" w:rsidRPr="00F6258F" w:rsidTr="00E75544">
        <w:trPr>
          <w:tblCellSpacing w:w="15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19d. 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Number of CTE certificates and degrees for which the institution has set a standard for graduate employment rates</w:t>
            </w:r>
            <w:r w:rsidR="00377BC3">
              <w:rPr>
                <w:rStyle w:val="FootnoteReference"/>
                <w:rFonts w:ascii="Verdana" w:eastAsia="Times New Roman" w:hAnsi="Verdana" w:cs="Times New Roman"/>
                <w:color w:val="444444"/>
                <w:sz w:val="18"/>
                <w:szCs w:val="18"/>
              </w:rPr>
              <w:footnoteReference w:id="2"/>
            </w: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: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CB77C9" w:rsidP="00CB77C9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2</w:t>
            </w:r>
          </w:p>
        </w:tc>
      </w:tr>
      <w:tr w:rsidR="00F6258F" w:rsidRPr="00F6258F" w:rsidTr="00E75544">
        <w:trPr>
          <w:tblCellSpacing w:w="15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20.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2012-2013 examination pass rates in programs for which students must pass a licensure examination in order to work in their field of study: </w:t>
            </w:r>
          </w:p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1218"/>
              <w:gridCol w:w="1379"/>
              <w:gridCol w:w="1370"/>
              <w:gridCol w:w="1356"/>
            </w:tblGrid>
            <w:tr w:rsidR="00F6258F" w:rsidRPr="00F6258F">
              <w:trPr>
                <w:tblCellSpacing w:w="15" w:type="dxa"/>
                <w:jc w:val="center"/>
              </w:trPr>
              <w:tc>
                <w:tcPr>
                  <w:tcW w:w="3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Program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CIP Code</w:t>
                  </w: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br/>
                    <w:t>4 digits</w:t>
                  </w: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br/>
                    <w:t>(##.##)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Examination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Institution set standard (%)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Pass Rate (%)</w:t>
                  </w:r>
                </w:p>
              </w:tc>
            </w:tr>
            <w:tr w:rsidR="00F6258F" w:rsidRPr="00F625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9A25FD" w:rsidP="009A25F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n/a</w:t>
                  </w:r>
                  <w:r w:rsidR="00F6258F" w:rsidRPr="00F6258F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9A25FD" w:rsidP="00F625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n/a</w:t>
                  </w:r>
                  <w:r w:rsidR="00F6258F" w:rsidRPr="00F6258F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:rsidR="00F6258F" w:rsidRPr="00F6258F" w:rsidRDefault="00F6258F" w:rsidP="00F625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</w:tr>
      <w:tr w:rsidR="00F6258F" w:rsidRPr="00F6258F" w:rsidTr="00E75544">
        <w:trPr>
          <w:tblCellSpacing w:w="15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21.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8F" w:rsidRPr="00F6258F" w:rsidRDefault="00F6258F" w:rsidP="00F6258F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F6258F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2012-2013 job placement rates for students completing certificate programs and CTE (career-technical education) degrees: </w:t>
            </w:r>
          </w:p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9"/>
              <w:gridCol w:w="1221"/>
              <w:gridCol w:w="1373"/>
              <w:gridCol w:w="1387"/>
            </w:tblGrid>
            <w:tr w:rsidR="00F6258F" w:rsidRPr="00F6258F">
              <w:trPr>
                <w:tblCellSpacing w:w="15" w:type="dxa"/>
                <w:jc w:val="center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Program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CIP Code</w:t>
                  </w: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br/>
                    <w:t>4 digits</w:t>
                  </w: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br/>
                    <w:t>(##.##)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Institution set standard (%)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258F" w:rsidRPr="00F6258F" w:rsidRDefault="00F6258F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 w:rsidRPr="00F6258F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</w:rPr>
                    <w:t>Job Placement Rate (%)</w:t>
                  </w:r>
                </w:p>
              </w:tc>
            </w:tr>
            <w:tr w:rsidR="00F6258F" w:rsidRPr="00F625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Default="00322E51" w:rsidP="00F625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Biomedical Technology</w:t>
                  </w:r>
                </w:p>
                <w:p w:rsidR="00322E51" w:rsidRPr="00F6258F" w:rsidRDefault="00322E51" w:rsidP="00F625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Multimedia Arts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Default="00D80910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26.1201</w:t>
                  </w:r>
                </w:p>
                <w:p w:rsidR="00D80910" w:rsidRPr="00F6258F" w:rsidRDefault="00D80910" w:rsidP="00F625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10.0304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322E51" w:rsidP="00322E5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57.5%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258F" w:rsidRPr="00F6258F" w:rsidRDefault="00322E51" w:rsidP="00F625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>57.5</w:t>
                  </w:r>
                  <w:r w:rsidR="00F6258F" w:rsidRPr="00F6258F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t xml:space="preserve"> %</w:t>
                  </w:r>
                  <w:r w:rsidR="00681058">
                    <w:rPr>
                      <w:rStyle w:val="FootnoteReference"/>
                      <w:rFonts w:ascii="Verdana" w:eastAsia="Times New Roman" w:hAnsi="Verdana" w:cs="Times New Roman"/>
                      <w:color w:val="444444"/>
                      <w:sz w:val="18"/>
                      <w:szCs w:val="18"/>
                    </w:rPr>
                    <w:footnoteReference w:id="3"/>
                  </w:r>
                </w:p>
              </w:tc>
            </w:tr>
          </w:tbl>
          <w:p w:rsidR="00F6258F" w:rsidRPr="00F6258F" w:rsidRDefault="00F6258F" w:rsidP="00F625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E75544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23.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E75544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 xml:space="preserve">Effective practice to share with the field: Describe examples of effective and/or innovative practices at your college for setting institution-set standards, evaluating college or programmatic performance related to student achievement, and changes that have happened in response to analyzing college or program performance (1,350 character limit, approximately 250 words). </w:t>
            </w:r>
          </w:p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75544" w:rsidRPr="00E755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5544" w:rsidRPr="00E75544" w:rsidRDefault="00E75544" w:rsidP="009A2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</w:rPr>
                  </w:pPr>
                  <w:r w:rsidRPr="00E75544">
                    <w:rPr>
                      <w:rFonts w:ascii="Times New Roman" w:eastAsia="Times New Roman" w:hAnsi="Times New Roman" w:cs="Times New Roman"/>
                      <w:color w:val="444444"/>
                    </w:rPr>
                    <w:t xml:space="preserve">At the beginning of each academic year, the college engages in a conversation regarding the </w:t>
                  </w:r>
                  <w:r w:rsidRPr="00E75544">
                    <w:rPr>
                      <w:rFonts w:ascii="Times New Roman" w:eastAsia="Times New Roman" w:hAnsi="Times New Roman" w:cs="Times New Roman"/>
                      <w:color w:val="444444"/>
                    </w:rPr>
                    <w:lastRenderedPageBreak/>
                    <w:t>institution</w:t>
                  </w:r>
                  <w:r w:rsidR="00CB77C9">
                    <w:rPr>
                      <w:rFonts w:ascii="Times New Roman" w:eastAsia="Times New Roman" w:hAnsi="Times New Roman" w:cs="Times New Roman"/>
                      <w:color w:val="444444"/>
                    </w:rPr>
                    <w:t>-</w:t>
                  </w:r>
                  <w:r w:rsidRPr="00E75544">
                    <w:rPr>
                      <w:rFonts w:ascii="Times New Roman" w:eastAsia="Times New Roman" w:hAnsi="Times New Roman" w:cs="Times New Roman"/>
                      <w:color w:val="444444"/>
                    </w:rPr>
                    <w:t xml:space="preserve">set standards, goals, </w:t>
                  </w:r>
                  <w:r w:rsidR="0036672F">
                    <w:rPr>
                      <w:rFonts w:ascii="Times New Roman" w:eastAsia="Times New Roman" w:hAnsi="Times New Roman" w:cs="Times New Roman"/>
                      <w:color w:val="444444"/>
                    </w:rPr>
                    <w:t xml:space="preserve">strategic </w:t>
                  </w:r>
                  <w:r w:rsidRPr="00E75544">
                    <w:rPr>
                      <w:rFonts w:ascii="Times New Roman" w:eastAsia="Times New Roman" w:hAnsi="Times New Roman" w:cs="Times New Roman"/>
                      <w:color w:val="444444"/>
                    </w:rPr>
                    <w:t>activities</w:t>
                  </w:r>
                  <w:r w:rsidR="0036672F">
                    <w:rPr>
                      <w:rFonts w:ascii="Times New Roman" w:eastAsia="Times New Roman" w:hAnsi="Times New Roman" w:cs="Times New Roman"/>
                      <w:color w:val="444444"/>
                    </w:rPr>
                    <w:t>,</w:t>
                  </w:r>
                  <w:r w:rsidRPr="00E75544">
                    <w:rPr>
                      <w:rFonts w:ascii="Times New Roman" w:eastAsia="Times New Roman" w:hAnsi="Times New Roman" w:cs="Times New Roman"/>
                      <w:color w:val="444444"/>
                    </w:rPr>
                    <w:t xml:space="preserve"> and outcomes. This discussion enables the college to review the college’s progress towards meeting its goals and provides a great way for the college to kick off the school year. T</w:t>
                  </w:r>
                  <w:r w:rsidR="00322E51" w:rsidRPr="00322E51">
                    <w:rPr>
                      <w:rFonts w:ascii="Times New Roman" w:eastAsia="Times New Roman" w:hAnsi="Times New Roman" w:cs="Times New Roman"/>
                      <w:color w:val="444444"/>
                    </w:rPr>
                    <w:t xml:space="preserve">o establish institution-set standards for job placement rates for </w:t>
                  </w:r>
                  <w:r w:rsidR="00322E51" w:rsidRPr="00322E51">
                    <w:rPr>
                      <w:rFonts w:ascii="Times New Roman" w:hAnsi="Times New Roman" w:cs="Times New Roman"/>
                    </w:rPr>
                    <w:t>CTE program completers at BCC</w:t>
                  </w:r>
                  <w:r w:rsidR="00322E51">
                    <w:rPr>
                      <w:rFonts w:ascii="Times New Roman" w:hAnsi="Times New Roman" w:cs="Times New Roman"/>
                    </w:rPr>
                    <w:t>, the College administered a CTE Employment Outcomes Survey</w:t>
                  </w:r>
                  <w:r w:rsidR="00695432">
                    <w:rPr>
                      <w:rFonts w:ascii="Times New Roman" w:hAnsi="Times New Roman" w:cs="Times New Roman"/>
                    </w:rPr>
                    <w:t xml:space="preserve"> (CTEOS) </w:t>
                  </w:r>
                  <w:r w:rsidR="00D1140C">
                    <w:rPr>
                      <w:rFonts w:ascii="Times New Roman" w:hAnsi="Times New Roman" w:cs="Times New Roman"/>
                    </w:rPr>
                    <w:t>in early 2014 by email, telephone and US mail</w:t>
                  </w:r>
                  <w:r w:rsidR="009A25FD">
                    <w:rPr>
                      <w:rStyle w:val="FootnoteReference"/>
                      <w:rFonts w:ascii="Times New Roman" w:hAnsi="Times New Roman" w:cs="Times New Roman"/>
                    </w:rPr>
                    <w:footnoteReference w:id="4"/>
                  </w:r>
                  <w:r w:rsidR="007855B6">
                    <w:rPr>
                      <w:rFonts w:ascii="Times New Roman" w:hAnsi="Times New Roman" w:cs="Times New Roman"/>
                    </w:rPr>
                    <w:t>.</w:t>
                  </w:r>
                  <w:r w:rsidR="00D1140C">
                    <w:rPr>
                      <w:rFonts w:ascii="Times New Roman" w:hAnsi="Times New Roman" w:cs="Times New Roman"/>
                    </w:rPr>
                    <w:t xml:space="preserve">  Survey findings indicate that 57.5% of respondents were employed at one or more jobs, 10% were seeking employment, while 16.8% not seeking employment.  </w:t>
                  </w:r>
                  <w:r w:rsidR="00722DAB">
                    <w:rPr>
                      <w:rFonts w:ascii="Times New Roman" w:hAnsi="Times New Roman" w:cs="Times New Roman"/>
                    </w:rPr>
                    <w:t>BCC shared this Survey result during college-wide meetings</w:t>
                  </w:r>
                  <w:r w:rsidR="00CB77C9">
                    <w:rPr>
                      <w:rFonts w:ascii="Times New Roman" w:hAnsi="Times New Roman" w:cs="Times New Roman"/>
                    </w:rPr>
                    <w:t>.  Through</w:t>
                  </w:r>
                  <w:r w:rsidR="00722DA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A25FD">
                    <w:rPr>
                      <w:rFonts w:ascii="Times New Roman" w:hAnsi="Times New Roman" w:cs="Times New Roman"/>
                    </w:rPr>
                    <w:t xml:space="preserve">participatory conversations, </w:t>
                  </w:r>
                  <w:r w:rsidR="00CB77C9">
                    <w:rPr>
                      <w:rFonts w:ascii="Times New Roman" w:hAnsi="Times New Roman" w:cs="Times New Roman"/>
                    </w:rPr>
                    <w:t>the College</w:t>
                  </w:r>
                  <w:r w:rsidR="00722DAB">
                    <w:rPr>
                      <w:rFonts w:ascii="Times New Roman" w:hAnsi="Times New Roman" w:cs="Times New Roman"/>
                    </w:rPr>
                    <w:t xml:space="preserve"> accepted 57.5% as the institution-set standard </w:t>
                  </w:r>
                  <w:r w:rsidR="00CB77C9">
                    <w:rPr>
                      <w:rFonts w:ascii="Times New Roman" w:hAnsi="Times New Roman" w:cs="Times New Roman"/>
                    </w:rPr>
                    <w:t xml:space="preserve">for </w:t>
                  </w:r>
                  <w:r w:rsidR="00722DAB">
                    <w:rPr>
                      <w:rFonts w:ascii="Times New Roman" w:hAnsi="Times New Roman" w:cs="Times New Roman"/>
                    </w:rPr>
                    <w:t xml:space="preserve">job placement rate.  </w:t>
                  </w:r>
                </w:p>
              </w:tc>
            </w:tr>
          </w:tbl>
          <w:p w:rsidR="00E75544" w:rsidRPr="00E75544" w:rsidRDefault="00E75544" w:rsidP="00E75544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</w:tr>
    </w:tbl>
    <w:p w:rsidR="00F6258F" w:rsidRPr="007855B6" w:rsidRDefault="00F6258F" w:rsidP="00785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5C9" w:rsidRDefault="00FE65C9" w:rsidP="0078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5B6">
        <w:rPr>
          <w:rFonts w:ascii="Times New Roman" w:hAnsi="Times New Roman" w:cs="Times New Roman"/>
          <w:sz w:val="24"/>
          <w:szCs w:val="24"/>
        </w:rPr>
        <w:t xml:space="preserve">BCC continues to actively use institution-set standards in assessing program and college-wide performance </w:t>
      </w:r>
      <w:r w:rsidR="007855B6" w:rsidRPr="007855B6">
        <w:rPr>
          <w:rFonts w:ascii="Times New Roman" w:hAnsi="Times New Roman" w:cs="Times New Roman"/>
          <w:sz w:val="24"/>
          <w:szCs w:val="24"/>
        </w:rPr>
        <w:t xml:space="preserve">while considering </w:t>
      </w:r>
      <w:r w:rsidRPr="007855B6">
        <w:rPr>
          <w:rFonts w:ascii="Times New Roman" w:hAnsi="Times New Roman" w:cs="Times New Roman"/>
          <w:sz w:val="24"/>
          <w:szCs w:val="24"/>
        </w:rPr>
        <w:t xml:space="preserve">student achievement </w:t>
      </w:r>
      <w:r w:rsidR="007855B6" w:rsidRPr="007855B6">
        <w:rPr>
          <w:rFonts w:ascii="Times New Roman" w:hAnsi="Times New Roman" w:cs="Times New Roman"/>
          <w:sz w:val="24"/>
          <w:szCs w:val="24"/>
        </w:rPr>
        <w:t xml:space="preserve">an important element of institutional practice and as one of the core measures of it institutional effectiveness. </w:t>
      </w:r>
    </w:p>
    <w:sectPr w:rsidR="00FE6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88" w:rsidRDefault="00966288" w:rsidP="00E75544">
      <w:pPr>
        <w:spacing w:after="0" w:line="240" w:lineRule="auto"/>
      </w:pPr>
      <w:r>
        <w:separator/>
      </w:r>
    </w:p>
  </w:endnote>
  <w:endnote w:type="continuationSeparator" w:id="0">
    <w:p w:rsidR="00966288" w:rsidRDefault="00966288" w:rsidP="00E7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Footer"/>
    </w:pPr>
    <w:r>
      <w:t>10.9.15</w:t>
    </w:r>
    <w:bookmarkStart w:id="0" w:name="_GoBack"/>
    <w:r>
      <w:ptab w:relativeTo="margin" w:alignment="center" w:leader="none"/>
    </w:r>
    <w:bookmarkEnd w:id="0"/>
    <w:sdt>
      <w:sdtPr>
        <w:id w:val="969400748"/>
        <w:placeholder>
          <w:docPart w:val="80FEE39BACE24B3B862DECDB9404C6CF"/>
        </w:placeholder>
        <w:temporary/>
        <w:showingPlcHdr/>
      </w:sdtPr>
      <w:sdtContent>
        <w:r>
          <w:t>[Type text</w:t>
        </w:r>
        <w:proofErr w:type="gramStart"/>
        <w:r>
          <w:t>]</w:t>
        </w:r>
        <w:proofErr w:type="gramEnd"/>
      </w:sdtContent>
    </w:sdt>
    <w:r>
      <w:ptab w:relativeTo="margin" w:alignment="right" w:leader="none"/>
    </w:r>
    <w:sdt>
      <w:sdtPr>
        <w:id w:val="969400753"/>
        <w:placeholder>
          <w:docPart w:val="80FEE39BACE24B3B862DECDB9404C6CF"/>
        </w:placeholder>
        <w:temporary/>
        <w:showingPlcHdr/>
      </w:sdtPr>
      <w:sdtContent>
        <w:r>
          <w:t>[Type text]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88" w:rsidRDefault="00966288" w:rsidP="00E75544">
      <w:pPr>
        <w:spacing w:after="0" w:line="240" w:lineRule="auto"/>
      </w:pPr>
      <w:r>
        <w:separator/>
      </w:r>
    </w:p>
  </w:footnote>
  <w:footnote w:type="continuationSeparator" w:id="0">
    <w:p w:rsidR="00966288" w:rsidRDefault="00966288" w:rsidP="00E75544">
      <w:pPr>
        <w:spacing w:after="0" w:line="240" w:lineRule="auto"/>
      </w:pPr>
      <w:r>
        <w:continuationSeparator/>
      </w:r>
    </w:p>
  </w:footnote>
  <w:footnote w:id="1">
    <w:p w:rsidR="00E75544" w:rsidRDefault="00E75544">
      <w:pPr>
        <w:pStyle w:val="FootnoteText"/>
      </w:pPr>
      <w:r>
        <w:rPr>
          <w:rStyle w:val="FootnoteReference"/>
        </w:rPr>
        <w:footnoteRef/>
      </w:r>
      <w:r>
        <w:t xml:space="preserve"> BCC does not offer CTE certificate</w:t>
      </w:r>
      <w:r w:rsidR="00CB77C9">
        <w:t>/</w:t>
      </w:r>
      <w:r>
        <w:t>degree programs that require licensure passage for employment.</w:t>
      </w:r>
    </w:p>
  </w:footnote>
  <w:footnote w:id="2">
    <w:p w:rsidR="00377BC3" w:rsidRDefault="00377BC3" w:rsidP="00377B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25FD">
        <w:t xml:space="preserve">Based upon data published by CCCCO DataMart, two BCC certificate CTE programs had 10 or more completers in 2012-13: Biotechnology/Biomedical Technology and Multimedia Arts. </w:t>
      </w:r>
    </w:p>
    <w:p w:rsidR="00377BC3" w:rsidRDefault="00377BC3" w:rsidP="00377BC3">
      <w:pPr>
        <w:pStyle w:val="FootnoteText"/>
      </w:pPr>
    </w:p>
    <w:p w:rsidR="00377BC3" w:rsidRDefault="00377BC3">
      <w:pPr>
        <w:pStyle w:val="FootnoteText"/>
      </w:pPr>
    </w:p>
  </w:footnote>
  <w:footnote w:id="3">
    <w:p w:rsidR="00050638" w:rsidRDefault="00681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E65C9">
        <w:t xml:space="preserve">BCC is using the </w:t>
      </w:r>
      <w:r w:rsidR="00CB77C9">
        <w:t xml:space="preserve">Spring </w:t>
      </w:r>
      <w:r w:rsidR="007855B6">
        <w:t xml:space="preserve">2014 </w:t>
      </w:r>
      <w:r w:rsidR="0036672F">
        <w:t>Career and Technical Education Employment Outcome Survey (</w:t>
      </w:r>
      <w:r w:rsidR="00FE65C9">
        <w:t>CTEOS</w:t>
      </w:r>
      <w:r w:rsidR="0036672F">
        <w:t>)</w:t>
      </w:r>
      <w:r w:rsidR="00FE65C9">
        <w:t xml:space="preserve"> findings as the preliminary job placement rate for the 2015 Annual Report. </w:t>
      </w:r>
      <w:r w:rsidR="00695432">
        <w:t xml:space="preserve">BCC </w:t>
      </w:r>
      <w:r w:rsidR="00FE65C9">
        <w:t xml:space="preserve">is currently </w:t>
      </w:r>
      <w:r w:rsidR="00695432">
        <w:t>participat</w:t>
      </w:r>
      <w:r w:rsidR="00FE65C9">
        <w:t>ing</w:t>
      </w:r>
      <w:r w:rsidR="00695432">
        <w:t xml:space="preserve"> in </w:t>
      </w:r>
      <w:r w:rsidR="00FE65C9">
        <w:t>the 2015-16 CTEOS</w:t>
      </w:r>
      <w:r w:rsidR="00695432">
        <w:t xml:space="preserve"> in order to collect job placement information </w:t>
      </w:r>
      <w:r w:rsidR="00FE65C9">
        <w:t xml:space="preserve">of the 2012-13 </w:t>
      </w:r>
      <w:r w:rsidR="00695432">
        <w:t xml:space="preserve">CTE program leavers and/or certificate/degree receivers. </w:t>
      </w:r>
      <w:r w:rsidR="00FE65C9">
        <w:t xml:space="preserve"> The College expects to receive survey</w:t>
      </w:r>
      <w:r w:rsidR="00CB77C9">
        <w:t xml:space="preserve"> findings </w:t>
      </w:r>
      <w:r w:rsidR="00FE65C9">
        <w:t xml:space="preserve">in Spring 2016, and will submit </w:t>
      </w:r>
      <w:r w:rsidR="007855B6">
        <w:t>an</w:t>
      </w:r>
      <w:r w:rsidR="00FE65C9">
        <w:t xml:space="preserve"> amendment for this data.   </w:t>
      </w:r>
      <w:r w:rsidR="00695432">
        <w:t xml:space="preserve">  </w:t>
      </w:r>
    </w:p>
  </w:footnote>
  <w:footnote w:id="4">
    <w:p w:rsidR="009A25FD" w:rsidRDefault="009A25FD">
      <w:pPr>
        <w:pStyle w:val="FootnoteText"/>
      </w:pPr>
      <w:r>
        <w:rPr>
          <w:rStyle w:val="FootnoteReference"/>
        </w:rPr>
        <w:footnoteRef/>
      </w:r>
      <w:r>
        <w:t xml:space="preserve"> BCC participated in Santa Rose Junior College’s CTEOS in order to collect job placement information from 508 BCC CTE program leavers and/or certificate/degree receivers in 2011-12.  The Survey was conducted in Spring 2014.  The selection criteria included those who enrolled in 2011-12 but did not continue at BCC in 2012-13 who had earned a certificate of 6 or more units, a CTE degree, or earned 9 or more CTE units. The total response rate was 21.7%.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10" w:rsidRDefault="00D80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245B"/>
    <w:multiLevelType w:val="hybridMultilevel"/>
    <w:tmpl w:val="74DC76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8F"/>
    <w:rsid w:val="00050638"/>
    <w:rsid w:val="00322E51"/>
    <w:rsid w:val="0036672F"/>
    <w:rsid w:val="00377BC3"/>
    <w:rsid w:val="00563154"/>
    <w:rsid w:val="00681058"/>
    <w:rsid w:val="00695432"/>
    <w:rsid w:val="006F4748"/>
    <w:rsid w:val="00722DAB"/>
    <w:rsid w:val="007855B6"/>
    <w:rsid w:val="00821DFC"/>
    <w:rsid w:val="00966288"/>
    <w:rsid w:val="009A25FD"/>
    <w:rsid w:val="00B52B9C"/>
    <w:rsid w:val="00B826D5"/>
    <w:rsid w:val="00C168D6"/>
    <w:rsid w:val="00C525A6"/>
    <w:rsid w:val="00CB77C9"/>
    <w:rsid w:val="00D1140C"/>
    <w:rsid w:val="00D80910"/>
    <w:rsid w:val="00E75544"/>
    <w:rsid w:val="00EA7024"/>
    <w:rsid w:val="00F6258F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5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5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5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10"/>
  </w:style>
  <w:style w:type="paragraph" w:styleId="Footer">
    <w:name w:val="footer"/>
    <w:basedOn w:val="Normal"/>
    <w:link w:val="FooterChar"/>
    <w:uiPriority w:val="99"/>
    <w:unhideWhenUsed/>
    <w:rsid w:val="00D8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10"/>
  </w:style>
  <w:style w:type="paragraph" w:styleId="BalloonText">
    <w:name w:val="Balloon Text"/>
    <w:basedOn w:val="Normal"/>
    <w:link w:val="BalloonTextChar"/>
    <w:uiPriority w:val="99"/>
    <w:semiHidden/>
    <w:unhideWhenUsed/>
    <w:rsid w:val="00D8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5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5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5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10"/>
  </w:style>
  <w:style w:type="paragraph" w:styleId="Footer">
    <w:name w:val="footer"/>
    <w:basedOn w:val="Normal"/>
    <w:link w:val="FooterChar"/>
    <w:uiPriority w:val="99"/>
    <w:unhideWhenUsed/>
    <w:rsid w:val="00D8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10"/>
  </w:style>
  <w:style w:type="paragraph" w:styleId="BalloonText">
    <w:name w:val="Balloon Text"/>
    <w:basedOn w:val="Normal"/>
    <w:link w:val="BalloonTextChar"/>
    <w:uiPriority w:val="99"/>
    <w:semiHidden/>
    <w:unhideWhenUsed/>
    <w:rsid w:val="00D8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FEE39BACE24B3B862DECDB9404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2014-8CA1-42CC-AEF5-E831CB764C4F}"/>
      </w:docPartPr>
      <w:docPartBody>
        <w:p w:rsidR="00000000" w:rsidRDefault="003A21DD" w:rsidP="003A21DD">
          <w:pPr>
            <w:pStyle w:val="80FEE39BACE24B3B862DECDB9404C6C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D"/>
    <w:rsid w:val="003A21DD"/>
    <w:rsid w:val="009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EE39BACE24B3B862DECDB9404C6CF">
    <w:name w:val="80FEE39BACE24B3B862DECDB9404C6CF"/>
    <w:rsid w:val="003A21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EE39BACE24B3B862DECDB9404C6CF">
    <w:name w:val="80FEE39BACE24B3B862DECDB9404C6CF"/>
    <w:rsid w:val="003A2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5D95-BD81-4031-A53A-B89F63F6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Chen</dc:creator>
  <cp:lastModifiedBy>May Chen</cp:lastModifiedBy>
  <cp:revision>2</cp:revision>
  <cp:lastPrinted>2015-10-08T21:17:00Z</cp:lastPrinted>
  <dcterms:created xsi:type="dcterms:W3CDTF">2015-10-09T22:19:00Z</dcterms:created>
  <dcterms:modified xsi:type="dcterms:W3CDTF">2015-10-09T22:19:00Z</dcterms:modified>
</cp:coreProperties>
</file>