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A9" w:rsidRDefault="00316AA9" w:rsidP="00316AA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IV. THE FIVE BERKELEY CITY COLLEGE GOALS </w:t>
      </w:r>
    </w:p>
    <w:p w:rsidR="00316AA9" w:rsidRDefault="00316AA9" w:rsidP="00316AA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316AA9" w:rsidRDefault="00316AA9" w:rsidP="00227E2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Berkeley City College has five goals which align with its mission. Each goal identifies a key area of practice for the college. Four of the goals are couched in the present; one of the goals is about </w:t>
      </w:r>
      <w:r w:rsidR="001309B2">
        <w:rPr>
          <w:rFonts w:ascii="Times New Roman" w:eastAsia="Times New Roman" w:hAnsi="Times New Roman" w:cs="Times New Roman"/>
          <w:sz w:val="24"/>
        </w:rPr>
        <w:t xml:space="preserve">both short term and </w:t>
      </w:r>
      <w:r>
        <w:rPr>
          <w:rFonts w:ascii="Times New Roman" w:eastAsia="Times New Roman" w:hAnsi="Times New Roman" w:cs="Times New Roman"/>
          <w:sz w:val="24"/>
        </w:rPr>
        <w:t xml:space="preserve">long term sustainability.  The goals </w:t>
      </w:r>
      <w:r w:rsidR="001309B2">
        <w:rPr>
          <w:rFonts w:ascii="Times New Roman" w:eastAsia="Times New Roman" w:hAnsi="Times New Roman" w:cs="Times New Roman"/>
          <w:sz w:val="24"/>
        </w:rPr>
        <w:t>represent</w:t>
      </w:r>
      <w:r>
        <w:rPr>
          <w:rFonts w:ascii="Times New Roman" w:eastAsia="Times New Roman" w:hAnsi="Times New Roman" w:cs="Times New Roman"/>
          <w:sz w:val="24"/>
        </w:rPr>
        <w:t xml:space="preserve"> the areas within which BCC's equity agenda is expressed through the indicators of excellence. The goals also demonstrate the areas within which BCC supports the </w:t>
      </w:r>
      <w:r w:rsidR="00227E2D">
        <w:rPr>
          <w:rFonts w:ascii="Times New Roman" w:eastAsia="Times New Roman" w:hAnsi="Times New Roman" w:cs="Times New Roman"/>
          <w:sz w:val="24"/>
        </w:rPr>
        <w:t xml:space="preserve">five </w:t>
      </w:r>
      <w:r>
        <w:rPr>
          <w:rFonts w:ascii="Times New Roman" w:eastAsia="Times New Roman" w:hAnsi="Times New Roman" w:cs="Times New Roman"/>
          <w:sz w:val="24"/>
        </w:rPr>
        <w:t>Peralta Strategic Directions</w:t>
      </w:r>
      <w:r w:rsidR="00227E2D">
        <w:rPr>
          <w:rFonts w:ascii="Times New Roman" w:eastAsia="Times New Roman" w:hAnsi="Times New Roman" w:cs="Times New Roman"/>
          <w:sz w:val="24"/>
        </w:rPr>
        <w:t xml:space="preserve">: 1) </w:t>
      </w:r>
      <w:r>
        <w:rPr>
          <w:rFonts w:ascii="Times New Roman" w:eastAsia="Times New Roman" w:hAnsi="Times New Roman" w:cs="Times New Roman"/>
          <w:sz w:val="24"/>
        </w:rPr>
        <w:t>Advance Stud</w:t>
      </w:r>
      <w:r w:rsidR="00227E2D">
        <w:rPr>
          <w:rFonts w:ascii="Times New Roman" w:eastAsia="Times New Roman" w:hAnsi="Times New Roman" w:cs="Times New Roman"/>
          <w:sz w:val="24"/>
        </w:rPr>
        <w:t xml:space="preserve">ent Access, Equity, and Success; 2) Engage and Leverage Partners; 3) </w:t>
      </w:r>
      <w:r>
        <w:rPr>
          <w:rFonts w:ascii="Times New Roman" w:eastAsia="Times New Roman" w:hAnsi="Times New Roman" w:cs="Times New Roman"/>
          <w:sz w:val="24"/>
        </w:rPr>
        <w:t>Build Programs of Distinction</w:t>
      </w:r>
      <w:proofErr w:type="gramStart"/>
      <w:r w:rsidR="00227E2D">
        <w:rPr>
          <w:rFonts w:ascii="Times New Roman" w:eastAsia="Times New Roman" w:hAnsi="Times New Roman" w:cs="Times New Roman"/>
          <w:sz w:val="24"/>
        </w:rPr>
        <w:t>;  4</w:t>
      </w:r>
      <w:proofErr w:type="gramEnd"/>
      <w:r w:rsidR="00227E2D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Strengthen Accountabilit</w:t>
      </w:r>
      <w:r w:rsidR="00227E2D">
        <w:rPr>
          <w:rFonts w:ascii="Times New Roman" w:eastAsia="Times New Roman" w:hAnsi="Times New Roman" w:cs="Times New Roman"/>
          <w:sz w:val="24"/>
        </w:rPr>
        <w:t xml:space="preserve">y, Innovation and Collaboration; 5) </w:t>
      </w:r>
      <w:r>
        <w:rPr>
          <w:rFonts w:ascii="Times New Roman" w:eastAsia="Times New Roman" w:hAnsi="Times New Roman" w:cs="Times New Roman"/>
          <w:sz w:val="24"/>
        </w:rPr>
        <w:t>Develop and Manage Resources to Advance Our Mission</w:t>
      </w:r>
      <w:r w:rsidR="00227E2D">
        <w:rPr>
          <w:rFonts w:ascii="Times New Roman" w:eastAsia="Times New Roman" w:hAnsi="Times New Roman" w:cs="Times New Roman"/>
          <w:sz w:val="24"/>
        </w:rPr>
        <w:t>.</w:t>
      </w: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GOAL ONE: Strengthen Resilience</w:t>
      </w: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Goal Description</w:t>
      </w: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Strengthen Resilience: </w:t>
      </w:r>
      <w:r>
        <w:rPr>
          <w:rFonts w:ascii="Times New Roman" w:eastAsia="Times New Roman" w:hAnsi="Times New Roman" w:cs="Times New Roman"/>
          <w:i/>
          <w:sz w:val="24"/>
        </w:rPr>
        <w:t xml:space="preserve">To strengthen </w:t>
      </w:r>
      <w:r w:rsidR="00883862">
        <w:rPr>
          <w:rFonts w:ascii="Times New Roman" w:eastAsia="Times New Roman" w:hAnsi="Times New Roman" w:cs="Times New Roman"/>
          <w:i/>
          <w:sz w:val="24"/>
        </w:rPr>
        <w:t>BCC</w:t>
      </w:r>
      <w:r>
        <w:rPr>
          <w:rFonts w:ascii="Times New Roman" w:eastAsia="Times New Roman" w:hAnsi="Times New Roman" w:cs="Times New Roman"/>
          <w:i/>
          <w:sz w:val="24"/>
        </w:rPr>
        <w:t xml:space="preserve"> students’ abilities to become self-directed, focused and engaged in the pursuit of transformative, life-long learning experiences that result in personal and academic success.</w:t>
      </w: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 this goal, BCC has focused its performance indicators for the years 2016-20</w:t>
      </w:r>
      <w:r w:rsidR="00E6578D">
        <w:rPr>
          <w:rFonts w:ascii="Times New Roman" w:eastAsia="Times New Roman" w:hAnsi="Times New Roman" w:cs="Times New Roman"/>
          <w:sz w:val="24"/>
        </w:rPr>
        <w:t>21 on addressing the equity gap</w:t>
      </w:r>
      <w:r>
        <w:rPr>
          <w:rFonts w:ascii="Times New Roman" w:eastAsia="Times New Roman" w:hAnsi="Times New Roman" w:cs="Times New Roman"/>
          <w:sz w:val="24"/>
        </w:rPr>
        <w:t xml:space="preserve"> in </w:t>
      </w:r>
      <w:r w:rsidR="004C4BC3">
        <w:rPr>
          <w:rFonts w:ascii="Times New Roman" w:eastAsia="Times New Roman" w:hAnsi="Times New Roman" w:cs="Times New Roman"/>
          <w:sz w:val="24"/>
        </w:rPr>
        <w:t>three</w:t>
      </w:r>
      <w:r>
        <w:rPr>
          <w:rFonts w:ascii="Times New Roman" w:eastAsia="Times New Roman" w:hAnsi="Times New Roman" w:cs="Times New Roman"/>
          <w:sz w:val="24"/>
        </w:rPr>
        <w:t xml:space="preserve"> areas:</w:t>
      </w:r>
    </w:p>
    <w:p w:rsidR="00E6578D" w:rsidRDefault="00E6578D" w:rsidP="00316A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Participation (access)</w:t>
      </w:r>
      <w:r w:rsidR="00227E2D">
        <w:rPr>
          <w:rFonts w:ascii="Times New Roman" w:eastAsia="Times New Roman" w:hAnsi="Times New Roman" w:cs="Times New Roman"/>
          <w:sz w:val="24"/>
        </w:rPr>
        <w:t xml:space="preserve"> in BCC programs</w:t>
      </w:r>
    </w:p>
    <w:p w:rsidR="00E6578D" w:rsidRPr="00E6578D" w:rsidRDefault="00E6578D" w:rsidP="00E6578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Completion </w:t>
      </w:r>
      <w:r w:rsidR="00227E2D">
        <w:rPr>
          <w:rFonts w:ascii="Times New Roman" w:eastAsia="Times New Roman" w:hAnsi="Times New Roman" w:cs="Times New Roman"/>
          <w:sz w:val="24"/>
        </w:rPr>
        <w:t>of student educational plans</w:t>
      </w:r>
    </w:p>
    <w:p w:rsidR="00E6578D" w:rsidRPr="00227E2D" w:rsidRDefault="00E6578D" w:rsidP="00227E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Persistence</w:t>
      </w:r>
      <w:r w:rsidR="00227E2D">
        <w:rPr>
          <w:rFonts w:ascii="Times New Roman" w:eastAsia="Times New Roman" w:hAnsi="Times New Roman" w:cs="Times New Roman"/>
          <w:sz w:val="24"/>
        </w:rPr>
        <w:t xml:space="preserve"> by enrolling in the first three consecutive terms</w:t>
      </w: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Indicators of Excellence</w:t>
      </w: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1350"/>
        <w:gridCol w:w="2291"/>
        <w:gridCol w:w="974"/>
        <w:gridCol w:w="872"/>
        <w:gridCol w:w="1080"/>
        <w:gridCol w:w="990"/>
        <w:gridCol w:w="990"/>
        <w:gridCol w:w="990"/>
      </w:tblGrid>
      <w:tr w:rsidR="000B1343" w:rsidRPr="00232280" w:rsidTr="00664AC7">
        <w:tc>
          <w:tcPr>
            <w:tcW w:w="135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Indicator</w:t>
            </w:r>
          </w:p>
        </w:tc>
        <w:tc>
          <w:tcPr>
            <w:tcW w:w="2291" w:type="dxa"/>
          </w:tcPr>
          <w:p w:rsidR="000B1343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Performance Measure</w:t>
            </w:r>
          </w:p>
          <w:p w:rsidR="00E6578D" w:rsidRPr="00232280" w:rsidRDefault="00E6578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[To be achieved during 5-year period.]</w:t>
            </w:r>
          </w:p>
        </w:tc>
        <w:tc>
          <w:tcPr>
            <w:tcW w:w="974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Measure</w:t>
            </w:r>
          </w:p>
        </w:tc>
        <w:tc>
          <w:tcPr>
            <w:tcW w:w="872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108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99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99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99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</w:tr>
      <w:tr w:rsidR="000B1343" w:rsidRPr="00232280" w:rsidTr="00664AC7">
        <w:tc>
          <w:tcPr>
            <w:tcW w:w="1350" w:type="dxa"/>
          </w:tcPr>
          <w:p w:rsidR="000B1343" w:rsidRPr="00383327" w:rsidRDefault="00E6578D" w:rsidP="008B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27">
              <w:rPr>
                <w:rFonts w:ascii="Times New Roman" w:hAnsi="Times New Roman" w:cs="Times New Roman"/>
                <w:b/>
                <w:sz w:val="20"/>
                <w:szCs w:val="20"/>
              </w:rPr>
              <w:t>Participation</w:t>
            </w:r>
          </w:p>
          <w:p w:rsidR="00E6578D" w:rsidRPr="00383327" w:rsidRDefault="00E6578D" w:rsidP="008B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578D" w:rsidRPr="00383327" w:rsidRDefault="00E6578D" w:rsidP="008B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0B1343" w:rsidRPr="00232280" w:rsidRDefault="00E6578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 participation by African American students in BCC programs to 20%.</w:t>
            </w:r>
          </w:p>
        </w:tc>
        <w:tc>
          <w:tcPr>
            <w:tcW w:w="974" w:type="dxa"/>
          </w:tcPr>
          <w:p w:rsidR="000B1343" w:rsidRDefault="00E6578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  <w:r w:rsidR="00227E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CC6205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78D" w:rsidRPr="00232280" w:rsidRDefault="00E6578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1,929</w:t>
            </w:r>
            <w:r w:rsidR="00383327">
              <w:rPr>
                <w:rFonts w:ascii="Times New Roman" w:hAnsi="Times New Roman" w:cs="Times New Roman"/>
                <w:sz w:val="20"/>
                <w:szCs w:val="20"/>
              </w:rPr>
              <w:t xml:space="preserve"> students</w:t>
            </w:r>
          </w:p>
        </w:tc>
        <w:tc>
          <w:tcPr>
            <w:tcW w:w="872" w:type="dxa"/>
          </w:tcPr>
          <w:p w:rsidR="000B1343" w:rsidRDefault="00E6578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  <w:p w:rsidR="00CC6205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205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2,043</w:t>
            </w:r>
          </w:p>
          <w:p w:rsidR="00CC6205" w:rsidRPr="00232280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  <w:tc>
          <w:tcPr>
            <w:tcW w:w="1080" w:type="dxa"/>
          </w:tcPr>
          <w:p w:rsidR="000B1343" w:rsidRDefault="00E6578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18.5%</w:t>
            </w:r>
          </w:p>
          <w:p w:rsidR="00CC6205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205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2,099 </w:t>
            </w:r>
          </w:p>
          <w:p w:rsidR="00CC6205" w:rsidRPr="00232280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  <w:tc>
          <w:tcPr>
            <w:tcW w:w="990" w:type="dxa"/>
          </w:tcPr>
          <w:p w:rsidR="000B1343" w:rsidRDefault="00E6578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  <w:p w:rsidR="00CC6205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205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2,156</w:t>
            </w:r>
          </w:p>
          <w:p w:rsidR="00CC6205" w:rsidRPr="00232280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  <w:tc>
          <w:tcPr>
            <w:tcW w:w="990" w:type="dxa"/>
          </w:tcPr>
          <w:p w:rsidR="000B1343" w:rsidRDefault="00E6578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19.5%</w:t>
            </w:r>
          </w:p>
          <w:p w:rsidR="00CC6205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205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2,313</w:t>
            </w:r>
          </w:p>
          <w:p w:rsidR="00CC6205" w:rsidRPr="00232280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  <w:tc>
          <w:tcPr>
            <w:tcW w:w="990" w:type="dxa"/>
          </w:tcPr>
          <w:p w:rsidR="000B1343" w:rsidRDefault="00E6578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  <w:p w:rsidR="00CC6205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205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2,279</w:t>
            </w:r>
          </w:p>
          <w:p w:rsidR="00CC6205" w:rsidRPr="00232280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</w:tr>
      <w:tr w:rsidR="000B1343" w:rsidRPr="00232280" w:rsidTr="00664AC7">
        <w:tc>
          <w:tcPr>
            <w:tcW w:w="135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Net impact on overall college performance on this indicator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74" w:type="dxa"/>
          </w:tcPr>
          <w:p w:rsidR="000B1343" w:rsidRPr="00232280" w:rsidRDefault="00E6578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11,349</w:t>
            </w:r>
            <w:r w:rsidR="00227E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2" w:type="dxa"/>
          </w:tcPr>
          <w:p w:rsidR="000B1343" w:rsidRPr="00232280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11,453</w:t>
            </w:r>
          </w:p>
        </w:tc>
        <w:tc>
          <w:tcPr>
            <w:tcW w:w="1080" w:type="dxa"/>
          </w:tcPr>
          <w:p w:rsidR="000B1343" w:rsidRPr="00232280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11,519</w:t>
            </w:r>
          </w:p>
        </w:tc>
        <w:tc>
          <w:tcPr>
            <w:tcW w:w="990" w:type="dxa"/>
          </w:tcPr>
          <w:p w:rsidR="000B1343" w:rsidRPr="00232280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11,576</w:t>
            </w:r>
          </w:p>
        </w:tc>
        <w:tc>
          <w:tcPr>
            <w:tcW w:w="990" w:type="dxa"/>
          </w:tcPr>
          <w:p w:rsidR="000B1343" w:rsidRPr="00232280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11,633</w:t>
            </w:r>
          </w:p>
        </w:tc>
        <w:tc>
          <w:tcPr>
            <w:tcW w:w="990" w:type="dxa"/>
          </w:tcPr>
          <w:p w:rsidR="000B1343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11,699</w:t>
            </w:r>
          </w:p>
          <w:p w:rsidR="00CC6205" w:rsidRPr="00232280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(3.1% increase)</w:t>
            </w:r>
          </w:p>
        </w:tc>
      </w:tr>
      <w:tr w:rsidR="000B1343" w:rsidRPr="00232280" w:rsidTr="00664AC7">
        <w:tc>
          <w:tcPr>
            <w:tcW w:w="1350" w:type="dxa"/>
          </w:tcPr>
          <w:p w:rsidR="000B1343" w:rsidRPr="00383327" w:rsidRDefault="00E6578D" w:rsidP="008B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27">
              <w:rPr>
                <w:rFonts w:ascii="Times New Roman" w:hAnsi="Times New Roman" w:cs="Times New Roman"/>
                <w:b/>
                <w:sz w:val="20"/>
                <w:szCs w:val="20"/>
              </w:rPr>
              <w:t>SEP</w:t>
            </w:r>
          </w:p>
          <w:p w:rsidR="00E6578D" w:rsidRPr="00232280" w:rsidRDefault="00E6578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0B1343" w:rsidRPr="00232280" w:rsidRDefault="00CC6205" w:rsidP="00CC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 the number of</w:t>
            </w:r>
            <w:r w:rsidR="00E6578D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6578D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="00E6578D">
              <w:rPr>
                <w:rFonts w:ascii="Times New Roman" w:hAnsi="Times New Roman" w:cs="Times New Roman"/>
                <w:sz w:val="20"/>
                <w:szCs w:val="20"/>
              </w:rPr>
              <w:t xml:space="preserve"> complete a Student Educational Plan within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 second semester at BCC by 25%.</w:t>
            </w:r>
          </w:p>
        </w:tc>
        <w:tc>
          <w:tcPr>
            <w:tcW w:w="974" w:type="dxa"/>
          </w:tcPr>
          <w:p w:rsidR="00CD101B" w:rsidRDefault="00CD101B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be </w:t>
            </w:r>
          </w:p>
          <w:p w:rsidR="00CC6205" w:rsidRPr="00232280" w:rsidRDefault="00CC6205" w:rsidP="00664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D101B">
              <w:rPr>
                <w:rFonts w:ascii="Times New Roman" w:hAnsi="Times New Roman" w:cs="Times New Roman"/>
                <w:sz w:val="20"/>
                <w:szCs w:val="20"/>
              </w:rPr>
              <w:t>nserted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64AC7">
              <w:rPr>
                <w:rFonts w:ascii="Times New Roman" w:hAnsi="Times New Roman" w:cs="Times New Roman"/>
                <w:sz w:val="20"/>
                <w:szCs w:val="20"/>
              </w:rPr>
              <w:t xml:space="preserve">Then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5% </w:t>
            </w:r>
            <w:r w:rsidR="00664AC7">
              <w:rPr>
                <w:rFonts w:ascii="Times New Roman" w:hAnsi="Times New Roman" w:cs="Times New Roman"/>
                <w:sz w:val="20"/>
                <w:szCs w:val="20"/>
              </w:rPr>
              <w:t xml:space="preserve">increase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 year.</w:t>
            </w:r>
          </w:p>
        </w:tc>
        <w:tc>
          <w:tcPr>
            <w:tcW w:w="872" w:type="dxa"/>
          </w:tcPr>
          <w:p w:rsidR="000B1343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01B" w:rsidRPr="00232280" w:rsidRDefault="00CD101B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B1343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01B" w:rsidRPr="00232280" w:rsidRDefault="00CD101B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B1343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01B" w:rsidRPr="00232280" w:rsidRDefault="00CD101B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B1343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01B" w:rsidRPr="00232280" w:rsidRDefault="00CD101B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B1343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01B" w:rsidRPr="00232280" w:rsidRDefault="00CD101B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43" w:rsidRPr="00232280" w:rsidTr="00664AC7">
        <w:tc>
          <w:tcPr>
            <w:tcW w:w="1350" w:type="dxa"/>
          </w:tcPr>
          <w:p w:rsidR="000B1343" w:rsidRPr="00383327" w:rsidRDefault="00E6578D" w:rsidP="008B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27">
              <w:rPr>
                <w:rFonts w:ascii="Times New Roman" w:hAnsi="Times New Roman" w:cs="Times New Roman"/>
                <w:b/>
                <w:sz w:val="20"/>
                <w:szCs w:val="20"/>
              </w:rPr>
              <w:t>Persistence</w:t>
            </w:r>
          </w:p>
          <w:p w:rsidR="00817BDD" w:rsidRPr="00232280" w:rsidRDefault="00817BD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0B1343" w:rsidRPr="00232280" w:rsidRDefault="00E6578D" w:rsidP="00227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 the persistence of African American students by 5%.</w:t>
            </w:r>
          </w:p>
        </w:tc>
        <w:tc>
          <w:tcPr>
            <w:tcW w:w="974" w:type="dxa"/>
          </w:tcPr>
          <w:p w:rsidR="000B1343" w:rsidRDefault="00227E2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63.8%+</w:t>
            </w:r>
          </w:p>
          <w:p w:rsidR="00383327" w:rsidRPr="00232280" w:rsidRDefault="00383327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students</w:t>
            </w:r>
          </w:p>
        </w:tc>
        <w:tc>
          <w:tcPr>
            <w:tcW w:w="872" w:type="dxa"/>
          </w:tcPr>
          <w:p w:rsidR="000B1343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64.8%</w:t>
            </w:r>
          </w:p>
          <w:p w:rsidR="00CC6205" w:rsidRPr="00232280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B1343" w:rsidRPr="00232280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65.8%</w:t>
            </w:r>
          </w:p>
        </w:tc>
        <w:tc>
          <w:tcPr>
            <w:tcW w:w="990" w:type="dxa"/>
          </w:tcPr>
          <w:p w:rsidR="000B1343" w:rsidRPr="00232280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66.8%</w:t>
            </w:r>
          </w:p>
        </w:tc>
        <w:tc>
          <w:tcPr>
            <w:tcW w:w="990" w:type="dxa"/>
          </w:tcPr>
          <w:p w:rsidR="000B1343" w:rsidRPr="00232280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67.8%</w:t>
            </w:r>
          </w:p>
        </w:tc>
        <w:tc>
          <w:tcPr>
            <w:tcW w:w="990" w:type="dxa"/>
          </w:tcPr>
          <w:p w:rsidR="000B1343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68.8%</w:t>
            </w:r>
          </w:p>
          <w:p w:rsidR="00CC6205" w:rsidRPr="00232280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(108 students)</w:t>
            </w:r>
          </w:p>
        </w:tc>
      </w:tr>
      <w:tr w:rsidR="000B1343" w:rsidRPr="00232280" w:rsidTr="00664AC7">
        <w:tc>
          <w:tcPr>
            <w:tcW w:w="135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Net impact on overall college performance on this indicator</w:t>
            </w:r>
          </w:p>
        </w:tc>
        <w:tc>
          <w:tcPr>
            <w:tcW w:w="974" w:type="dxa"/>
          </w:tcPr>
          <w:p w:rsidR="000B1343" w:rsidRDefault="00227E2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68.7%+</w:t>
            </w:r>
          </w:p>
          <w:p w:rsidR="00383327" w:rsidRPr="00232280" w:rsidRDefault="00383327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 students</w:t>
            </w:r>
          </w:p>
        </w:tc>
        <w:tc>
          <w:tcPr>
            <w:tcW w:w="872" w:type="dxa"/>
          </w:tcPr>
          <w:p w:rsidR="000B1343" w:rsidRPr="00232280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68.9%</w:t>
            </w:r>
          </w:p>
        </w:tc>
        <w:tc>
          <w:tcPr>
            <w:tcW w:w="1080" w:type="dxa"/>
          </w:tcPr>
          <w:p w:rsidR="000B1343" w:rsidRPr="00232280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69.3%</w:t>
            </w:r>
          </w:p>
        </w:tc>
        <w:tc>
          <w:tcPr>
            <w:tcW w:w="990" w:type="dxa"/>
          </w:tcPr>
          <w:p w:rsidR="000B1343" w:rsidRPr="00232280" w:rsidRDefault="00A00C7A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69.8</w:t>
            </w:r>
            <w:r w:rsidR="00CC62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B1343" w:rsidRPr="00232280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70.6%</w:t>
            </w:r>
          </w:p>
        </w:tc>
        <w:tc>
          <w:tcPr>
            <w:tcW w:w="990" w:type="dxa"/>
          </w:tcPr>
          <w:p w:rsidR="000B1343" w:rsidRPr="00232280" w:rsidRDefault="00CC6205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74.1%</w:t>
            </w:r>
          </w:p>
        </w:tc>
      </w:tr>
    </w:tbl>
    <w:p w:rsidR="000B1343" w:rsidRDefault="00E6578D" w:rsidP="00E657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 Baseline measure comes from 2015 Student Success Scorecard Data, California Community Colleges Student Success Initiative</w:t>
      </w:r>
      <w:r w:rsidR="000B5A20">
        <w:rPr>
          <w:rFonts w:ascii="Times New Roman" w:hAnsi="Times New Roman" w:cs="Times New Roman"/>
          <w:sz w:val="20"/>
          <w:szCs w:val="20"/>
        </w:rPr>
        <w:t xml:space="preserve">;     </w:t>
      </w:r>
      <w:r w:rsidR="000B1343">
        <w:rPr>
          <w:rFonts w:ascii="Times New Roman" w:hAnsi="Times New Roman" w:cs="Times New Roman"/>
          <w:sz w:val="20"/>
          <w:szCs w:val="20"/>
        </w:rPr>
        <w:t>*Net impact demonstrates the effect on overall college performance for this indicator, if the college achieves its equity target in this area.</w:t>
      </w:r>
    </w:p>
    <w:p w:rsidR="000B5A20" w:rsidRPr="0020047A" w:rsidRDefault="000B5A20" w:rsidP="00E657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GOAL TWO: Raise College Competence</w:t>
      </w: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Description</w:t>
      </w: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Raise College Competence: </w:t>
      </w:r>
      <w:r>
        <w:rPr>
          <w:rFonts w:ascii="Times New Roman" w:eastAsia="Times New Roman" w:hAnsi="Times New Roman" w:cs="Times New Roman"/>
          <w:i/>
          <w:sz w:val="24"/>
        </w:rPr>
        <w:t>To raise student skills and competencies, and the</w:t>
      </w:r>
      <w:r w:rsidR="00AA05B9">
        <w:rPr>
          <w:rFonts w:ascii="Times New Roman" w:eastAsia="Times New Roman" w:hAnsi="Times New Roman" w:cs="Times New Roman"/>
          <w:i/>
          <w:sz w:val="24"/>
        </w:rPr>
        <w:t>ir</w:t>
      </w:r>
      <w:r>
        <w:rPr>
          <w:rFonts w:ascii="Times New Roman" w:eastAsia="Times New Roman" w:hAnsi="Times New Roman" w:cs="Times New Roman"/>
          <w:i/>
          <w:sz w:val="24"/>
        </w:rPr>
        <w:t xml:space="preserve"> learning experiences, </w:t>
      </w:r>
      <w:r w:rsidR="00AA05B9">
        <w:rPr>
          <w:rFonts w:ascii="Times New Roman" w:eastAsia="Times New Roman" w:hAnsi="Times New Roman" w:cs="Times New Roman"/>
          <w:i/>
          <w:sz w:val="24"/>
        </w:rPr>
        <w:t xml:space="preserve">so that they can </w:t>
      </w:r>
      <w:r>
        <w:rPr>
          <w:rFonts w:ascii="Times New Roman" w:eastAsia="Times New Roman" w:hAnsi="Times New Roman" w:cs="Times New Roman"/>
          <w:i/>
          <w:sz w:val="24"/>
        </w:rPr>
        <w:t>successfully complete their college program.</w:t>
      </w: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AA05B9" w:rsidRDefault="00AA05B9" w:rsidP="00AA05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 this goal, BCC has focused its performance indicators for the years 2016-20</w:t>
      </w:r>
      <w:r w:rsidR="00316B1E">
        <w:rPr>
          <w:rFonts w:ascii="Times New Roman" w:eastAsia="Times New Roman" w:hAnsi="Times New Roman" w:cs="Times New Roman"/>
          <w:sz w:val="24"/>
        </w:rPr>
        <w:t>21 on addressing the equity gap</w:t>
      </w:r>
      <w:r>
        <w:rPr>
          <w:rFonts w:ascii="Times New Roman" w:eastAsia="Times New Roman" w:hAnsi="Times New Roman" w:cs="Times New Roman"/>
          <w:sz w:val="24"/>
        </w:rPr>
        <w:t xml:space="preserve"> in </w:t>
      </w:r>
      <w:r w:rsidR="00316B1E">
        <w:rPr>
          <w:rFonts w:ascii="Times New Roman" w:eastAsia="Times New Roman" w:hAnsi="Times New Roman" w:cs="Times New Roman"/>
          <w:sz w:val="24"/>
        </w:rPr>
        <w:t>four</w:t>
      </w:r>
      <w:r>
        <w:rPr>
          <w:rFonts w:ascii="Times New Roman" w:eastAsia="Times New Roman" w:hAnsi="Times New Roman" w:cs="Times New Roman"/>
          <w:sz w:val="24"/>
        </w:rPr>
        <w:t xml:space="preserve"> areas:</w:t>
      </w:r>
    </w:p>
    <w:p w:rsidR="00AA05B9" w:rsidRDefault="00227E2D" w:rsidP="00AA05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Fall c</w:t>
      </w:r>
      <w:r w:rsidR="00AA05B9">
        <w:rPr>
          <w:rFonts w:ascii="Times New Roman" w:eastAsia="Times New Roman" w:hAnsi="Times New Roman" w:cs="Times New Roman"/>
          <w:sz w:val="24"/>
        </w:rPr>
        <w:t xml:space="preserve">ourse </w:t>
      </w:r>
      <w:r>
        <w:rPr>
          <w:rFonts w:ascii="Times New Roman" w:eastAsia="Times New Roman" w:hAnsi="Times New Roman" w:cs="Times New Roman"/>
          <w:sz w:val="24"/>
        </w:rPr>
        <w:t>success</w:t>
      </w:r>
      <w:r w:rsidR="00AA05B9">
        <w:rPr>
          <w:rFonts w:ascii="Times New Roman" w:eastAsia="Times New Roman" w:hAnsi="Times New Roman" w:cs="Times New Roman"/>
          <w:sz w:val="24"/>
        </w:rPr>
        <w:t>, un</w:t>
      </w:r>
      <w:r w:rsidR="00817BDD">
        <w:rPr>
          <w:rFonts w:ascii="Times New Roman" w:eastAsia="Times New Roman" w:hAnsi="Times New Roman" w:cs="Times New Roman"/>
          <w:sz w:val="24"/>
        </w:rPr>
        <w:t>der</w:t>
      </w:r>
      <w:r w:rsidR="00AA05B9">
        <w:rPr>
          <w:rFonts w:ascii="Times New Roman" w:eastAsia="Times New Roman" w:hAnsi="Times New Roman" w:cs="Times New Roman"/>
          <w:sz w:val="24"/>
        </w:rPr>
        <w:t>prepared</w:t>
      </w:r>
      <w:r>
        <w:rPr>
          <w:rFonts w:ascii="Times New Roman" w:eastAsia="Times New Roman" w:hAnsi="Times New Roman" w:cs="Times New Roman"/>
          <w:sz w:val="24"/>
        </w:rPr>
        <w:t xml:space="preserve"> students</w:t>
      </w:r>
    </w:p>
    <w:p w:rsidR="00227E2D" w:rsidRDefault="00817BDD" w:rsidP="00AA05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ESL momentum: s</w:t>
      </w:r>
      <w:r w:rsidR="00227E2D">
        <w:rPr>
          <w:rFonts w:ascii="Times New Roman" w:eastAsia="Times New Roman" w:hAnsi="Times New Roman" w:cs="Times New Roman"/>
          <w:sz w:val="24"/>
        </w:rPr>
        <w:t>tudents first enrolled in an ESL credit course who completed a college-level English course</w:t>
      </w:r>
    </w:p>
    <w:p w:rsidR="00AA05B9" w:rsidRDefault="00817BDD" w:rsidP="00AA05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Remedial English momentum: s</w:t>
      </w:r>
      <w:r w:rsidR="00227E2D">
        <w:rPr>
          <w:rFonts w:ascii="Times New Roman" w:eastAsia="Times New Roman" w:hAnsi="Times New Roman" w:cs="Times New Roman"/>
          <w:sz w:val="24"/>
        </w:rPr>
        <w:t>tudents first enrolled in a remedial English credit course who completed a college-level English course</w:t>
      </w:r>
    </w:p>
    <w:p w:rsidR="00227E2D" w:rsidRPr="00AA05B9" w:rsidRDefault="00817BDD" w:rsidP="00AA05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Remedial Math momentum: s</w:t>
      </w:r>
      <w:r w:rsidR="00227E2D">
        <w:rPr>
          <w:rFonts w:ascii="Times New Roman" w:eastAsia="Times New Roman" w:hAnsi="Times New Roman" w:cs="Times New Roman"/>
          <w:sz w:val="24"/>
        </w:rPr>
        <w:t>tudents first enrolled in a remedial Math credit course who completed a college-level Math course</w:t>
      </w:r>
    </w:p>
    <w:p w:rsidR="00AA05B9" w:rsidRDefault="00AA05B9" w:rsidP="00316AA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B1343" w:rsidRDefault="00316AA9" w:rsidP="00227E2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Indicators of Excellence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194"/>
        <w:gridCol w:w="2212"/>
        <w:gridCol w:w="974"/>
        <w:gridCol w:w="864"/>
        <w:gridCol w:w="1080"/>
        <w:gridCol w:w="990"/>
        <w:gridCol w:w="990"/>
        <w:gridCol w:w="990"/>
      </w:tblGrid>
      <w:tr w:rsidR="000B1343" w:rsidRPr="00232280" w:rsidTr="008B26B4">
        <w:tc>
          <w:tcPr>
            <w:tcW w:w="117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Indicator</w:t>
            </w:r>
          </w:p>
        </w:tc>
        <w:tc>
          <w:tcPr>
            <w:tcW w:w="2212" w:type="dxa"/>
          </w:tcPr>
          <w:p w:rsidR="000B1343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Performance Measure</w:t>
            </w:r>
          </w:p>
          <w:p w:rsidR="00227E2D" w:rsidRPr="00232280" w:rsidRDefault="00227E2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[To be achieved during 5-year period.]</w:t>
            </w:r>
          </w:p>
        </w:tc>
        <w:tc>
          <w:tcPr>
            <w:tcW w:w="974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Measure</w:t>
            </w:r>
          </w:p>
        </w:tc>
        <w:tc>
          <w:tcPr>
            <w:tcW w:w="864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108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99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99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99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</w:tr>
      <w:tr w:rsidR="000B1343" w:rsidRPr="00232280" w:rsidTr="008B26B4">
        <w:tc>
          <w:tcPr>
            <w:tcW w:w="1170" w:type="dxa"/>
          </w:tcPr>
          <w:p w:rsidR="000B1343" w:rsidRPr="001F579F" w:rsidRDefault="00817BDD" w:rsidP="008B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79F">
              <w:rPr>
                <w:rFonts w:ascii="Times New Roman" w:hAnsi="Times New Roman" w:cs="Times New Roman"/>
                <w:b/>
                <w:sz w:val="20"/>
                <w:szCs w:val="20"/>
              </w:rPr>
              <w:t>Fall Course Success</w:t>
            </w:r>
          </w:p>
          <w:p w:rsidR="00817BDD" w:rsidRDefault="00817BD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DD" w:rsidRPr="00232280" w:rsidRDefault="00817BD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0B1343" w:rsidRPr="00232280" w:rsidRDefault="00817BDD" w:rsidP="00D9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Increase the Fall Course Success for underprepared African American students </w:t>
            </w:r>
            <w:r w:rsidR="00D937B9">
              <w:rPr>
                <w:rFonts w:ascii="Times New Roman" w:hAnsi="Times New Roman" w:cs="Times New Roman"/>
                <w:sz w:val="20"/>
                <w:szCs w:val="20"/>
              </w:rPr>
              <w:t>to 54%.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</w:tcPr>
          <w:p w:rsidR="000B1343" w:rsidRDefault="00817BD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34%+</w:t>
            </w:r>
          </w:p>
          <w:p w:rsidR="00817BDD" w:rsidRPr="00232280" w:rsidRDefault="001F579F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 students</w:t>
            </w:r>
          </w:p>
        </w:tc>
        <w:tc>
          <w:tcPr>
            <w:tcW w:w="864" w:type="dxa"/>
          </w:tcPr>
          <w:p w:rsidR="000B1343" w:rsidRPr="00232280" w:rsidRDefault="00664AC7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37.8%</w:t>
            </w:r>
          </w:p>
        </w:tc>
        <w:tc>
          <w:tcPr>
            <w:tcW w:w="1080" w:type="dxa"/>
          </w:tcPr>
          <w:p w:rsidR="000B1343" w:rsidRPr="00232280" w:rsidRDefault="00664AC7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41.8%</w:t>
            </w:r>
          </w:p>
        </w:tc>
        <w:tc>
          <w:tcPr>
            <w:tcW w:w="990" w:type="dxa"/>
          </w:tcPr>
          <w:p w:rsidR="000B1343" w:rsidRPr="00232280" w:rsidRDefault="00664AC7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45.7%</w:t>
            </w:r>
          </w:p>
        </w:tc>
        <w:tc>
          <w:tcPr>
            <w:tcW w:w="990" w:type="dxa"/>
          </w:tcPr>
          <w:p w:rsidR="000B1343" w:rsidRPr="00232280" w:rsidRDefault="00664AC7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49.7%</w:t>
            </w:r>
          </w:p>
        </w:tc>
        <w:tc>
          <w:tcPr>
            <w:tcW w:w="990" w:type="dxa"/>
          </w:tcPr>
          <w:p w:rsidR="000B1343" w:rsidRDefault="00664AC7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  <w:p w:rsidR="00664AC7" w:rsidRPr="00232280" w:rsidRDefault="00664AC7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(258 students)</w:t>
            </w:r>
          </w:p>
        </w:tc>
      </w:tr>
      <w:tr w:rsidR="000B1343" w:rsidRPr="00232280" w:rsidTr="008B26B4">
        <w:tc>
          <w:tcPr>
            <w:tcW w:w="1170" w:type="dxa"/>
          </w:tcPr>
          <w:p w:rsidR="000B1343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DD" w:rsidRPr="00232280" w:rsidRDefault="00817BD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Net impact on overall college performance on this indicator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74" w:type="dxa"/>
          </w:tcPr>
          <w:p w:rsidR="000B1343" w:rsidRDefault="00817BD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45%+</w:t>
            </w:r>
          </w:p>
          <w:p w:rsidR="00817BDD" w:rsidRPr="00232280" w:rsidRDefault="001F579F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students</w:t>
            </w:r>
          </w:p>
        </w:tc>
        <w:tc>
          <w:tcPr>
            <w:tcW w:w="864" w:type="dxa"/>
          </w:tcPr>
          <w:p w:rsidR="000B1343" w:rsidRPr="00232280" w:rsidRDefault="00664AC7" w:rsidP="00664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1080" w:type="dxa"/>
          </w:tcPr>
          <w:p w:rsidR="000B1343" w:rsidRPr="00232280" w:rsidRDefault="00664AC7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990" w:type="dxa"/>
          </w:tcPr>
          <w:p w:rsidR="000B1343" w:rsidRPr="00232280" w:rsidRDefault="00664AC7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990" w:type="dxa"/>
          </w:tcPr>
          <w:p w:rsidR="000B1343" w:rsidRPr="00232280" w:rsidRDefault="00664AC7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990" w:type="dxa"/>
          </w:tcPr>
          <w:p w:rsidR="000B1343" w:rsidRPr="00232280" w:rsidRDefault="00664AC7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</w:tr>
      <w:tr w:rsidR="000B1343" w:rsidRPr="00232280" w:rsidTr="008B26B4">
        <w:tc>
          <w:tcPr>
            <w:tcW w:w="1170" w:type="dxa"/>
          </w:tcPr>
          <w:p w:rsidR="000B1343" w:rsidRDefault="00817BDD" w:rsidP="008B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79F">
              <w:rPr>
                <w:rFonts w:ascii="Times New Roman" w:hAnsi="Times New Roman" w:cs="Times New Roman"/>
                <w:b/>
                <w:sz w:val="20"/>
                <w:szCs w:val="20"/>
              </w:rPr>
              <w:t>ESL</w:t>
            </w:r>
          </w:p>
          <w:p w:rsidR="001F579F" w:rsidRPr="001F579F" w:rsidRDefault="001F579F" w:rsidP="008B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momentum</w:t>
            </w:r>
          </w:p>
          <w:p w:rsidR="00817BDD" w:rsidRDefault="00817BD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DD" w:rsidRPr="00232280" w:rsidRDefault="00817BDD" w:rsidP="001F5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817BDD" w:rsidRPr="00232280" w:rsidRDefault="00817BDD" w:rsidP="00A43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Increase the ESL momentum rate for Hispanic students </w:t>
            </w:r>
            <w:r w:rsidR="00D937B9">
              <w:rPr>
                <w:rFonts w:ascii="Times New Roman" w:hAnsi="Times New Roman" w:cs="Times New Roman"/>
                <w:sz w:val="20"/>
                <w:szCs w:val="20"/>
              </w:rPr>
              <w:t>to 32.5%.</w:t>
            </w:r>
          </w:p>
        </w:tc>
        <w:tc>
          <w:tcPr>
            <w:tcW w:w="974" w:type="dxa"/>
          </w:tcPr>
          <w:p w:rsidR="000B1343" w:rsidRDefault="00817BD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27.5%+</w:t>
            </w:r>
          </w:p>
          <w:p w:rsidR="001F579F" w:rsidRDefault="001F579F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79F" w:rsidRPr="00232280" w:rsidRDefault="001F579F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students</w:t>
            </w:r>
          </w:p>
        </w:tc>
        <w:tc>
          <w:tcPr>
            <w:tcW w:w="864" w:type="dxa"/>
          </w:tcPr>
          <w:p w:rsidR="000B1343" w:rsidRPr="00232280" w:rsidRDefault="00F829DC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28.5%</w:t>
            </w:r>
          </w:p>
        </w:tc>
        <w:tc>
          <w:tcPr>
            <w:tcW w:w="1080" w:type="dxa"/>
          </w:tcPr>
          <w:p w:rsidR="000B1343" w:rsidRPr="00232280" w:rsidRDefault="00F829DC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29.5%</w:t>
            </w:r>
          </w:p>
        </w:tc>
        <w:tc>
          <w:tcPr>
            <w:tcW w:w="990" w:type="dxa"/>
          </w:tcPr>
          <w:p w:rsidR="000B1343" w:rsidRPr="00232280" w:rsidRDefault="00F829DC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30.5%</w:t>
            </w:r>
          </w:p>
        </w:tc>
        <w:tc>
          <w:tcPr>
            <w:tcW w:w="990" w:type="dxa"/>
          </w:tcPr>
          <w:p w:rsidR="000B1343" w:rsidRPr="00232280" w:rsidRDefault="00F829DC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31.5%</w:t>
            </w:r>
          </w:p>
        </w:tc>
        <w:tc>
          <w:tcPr>
            <w:tcW w:w="990" w:type="dxa"/>
          </w:tcPr>
          <w:p w:rsidR="000B1343" w:rsidRPr="00232280" w:rsidRDefault="00F829DC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32.5%</w:t>
            </w:r>
          </w:p>
        </w:tc>
      </w:tr>
      <w:tr w:rsidR="000B1343" w:rsidRPr="00232280" w:rsidTr="008B26B4">
        <w:tc>
          <w:tcPr>
            <w:tcW w:w="1170" w:type="dxa"/>
          </w:tcPr>
          <w:p w:rsidR="000B1343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DD" w:rsidRPr="00232280" w:rsidRDefault="00817BD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Net impact on overall college performance on this indicator</w:t>
            </w:r>
          </w:p>
        </w:tc>
        <w:tc>
          <w:tcPr>
            <w:tcW w:w="974" w:type="dxa"/>
          </w:tcPr>
          <w:p w:rsidR="000B1343" w:rsidRDefault="00817BD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32.1+</w:t>
            </w:r>
          </w:p>
          <w:p w:rsidR="001F579F" w:rsidRPr="00232280" w:rsidRDefault="001F579F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 students</w:t>
            </w:r>
          </w:p>
        </w:tc>
        <w:tc>
          <w:tcPr>
            <w:tcW w:w="864" w:type="dxa"/>
          </w:tcPr>
          <w:p w:rsidR="000B1343" w:rsidRPr="00232280" w:rsidRDefault="00F829DC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32.3%</w:t>
            </w:r>
          </w:p>
        </w:tc>
        <w:tc>
          <w:tcPr>
            <w:tcW w:w="1080" w:type="dxa"/>
          </w:tcPr>
          <w:p w:rsidR="000B1343" w:rsidRPr="00232280" w:rsidRDefault="00F829DC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32.5%</w:t>
            </w:r>
          </w:p>
        </w:tc>
        <w:tc>
          <w:tcPr>
            <w:tcW w:w="990" w:type="dxa"/>
          </w:tcPr>
          <w:p w:rsidR="000B1343" w:rsidRPr="00232280" w:rsidRDefault="00F829DC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32.7%</w:t>
            </w:r>
          </w:p>
        </w:tc>
        <w:tc>
          <w:tcPr>
            <w:tcW w:w="990" w:type="dxa"/>
          </w:tcPr>
          <w:p w:rsidR="000B1343" w:rsidRPr="00232280" w:rsidRDefault="00F829DC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32.9%</w:t>
            </w:r>
          </w:p>
        </w:tc>
        <w:tc>
          <w:tcPr>
            <w:tcW w:w="990" w:type="dxa"/>
          </w:tcPr>
          <w:p w:rsidR="000B1343" w:rsidRPr="00232280" w:rsidRDefault="00F829DC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33.1%</w:t>
            </w:r>
          </w:p>
        </w:tc>
      </w:tr>
      <w:tr w:rsidR="000B1343" w:rsidRPr="00232280" w:rsidTr="008B26B4">
        <w:tc>
          <w:tcPr>
            <w:tcW w:w="1170" w:type="dxa"/>
          </w:tcPr>
          <w:p w:rsidR="000B1343" w:rsidRDefault="00817BDD" w:rsidP="008B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79F">
              <w:rPr>
                <w:rFonts w:ascii="Times New Roman" w:hAnsi="Times New Roman" w:cs="Times New Roman"/>
                <w:b/>
                <w:sz w:val="20"/>
                <w:szCs w:val="20"/>
              </w:rPr>
              <w:t>Remedial English</w:t>
            </w:r>
          </w:p>
          <w:p w:rsidR="001F579F" w:rsidRPr="001F579F" w:rsidRDefault="001F579F" w:rsidP="008B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momentum</w:t>
            </w:r>
          </w:p>
          <w:p w:rsidR="00817BDD" w:rsidRDefault="00817BD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DD" w:rsidRPr="00232280" w:rsidRDefault="00817BD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0B1343" w:rsidRPr="00232280" w:rsidRDefault="00817BDD" w:rsidP="00F82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 the remedial English momentum for</w:t>
            </w:r>
            <w:r w:rsidR="00F829DC">
              <w:rPr>
                <w:rFonts w:ascii="Times New Roman" w:hAnsi="Times New Roman" w:cs="Times New Roman"/>
                <w:sz w:val="20"/>
                <w:szCs w:val="20"/>
              </w:rPr>
              <w:t xml:space="preserve"> African American students to 37.2%.</w:t>
            </w:r>
          </w:p>
        </w:tc>
        <w:tc>
          <w:tcPr>
            <w:tcW w:w="974" w:type="dxa"/>
          </w:tcPr>
          <w:p w:rsidR="000B1343" w:rsidRDefault="00817BD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24.7%</w:t>
            </w:r>
            <w:r w:rsidR="003833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1F579F" w:rsidRDefault="001F579F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79F" w:rsidRPr="00232280" w:rsidRDefault="001F579F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students</w:t>
            </w:r>
          </w:p>
        </w:tc>
        <w:tc>
          <w:tcPr>
            <w:tcW w:w="864" w:type="dxa"/>
          </w:tcPr>
          <w:p w:rsidR="000B1343" w:rsidRPr="00232280" w:rsidRDefault="00F829DC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27.2%</w:t>
            </w:r>
          </w:p>
        </w:tc>
        <w:tc>
          <w:tcPr>
            <w:tcW w:w="1080" w:type="dxa"/>
          </w:tcPr>
          <w:p w:rsidR="000B1343" w:rsidRPr="00232280" w:rsidRDefault="00F829DC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29.7%</w:t>
            </w:r>
          </w:p>
        </w:tc>
        <w:tc>
          <w:tcPr>
            <w:tcW w:w="990" w:type="dxa"/>
          </w:tcPr>
          <w:p w:rsidR="000B1343" w:rsidRPr="00232280" w:rsidRDefault="00F829DC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32.2%</w:t>
            </w:r>
          </w:p>
        </w:tc>
        <w:tc>
          <w:tcPr>
            <w:tcW w:w="990" w:type="dxa"/>
          </w:tcPr>
          <w:p w:rsidR="000B1343" w:rsidRPr="00232280" w:rsidRDefault="00F829DC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34.7%</w:t>
            </w:r>
          </w:p>
        </w:tc>
        <w:tc>
          <w:tcPr>
            <w:tcW w:w="990" w:type="dxa"/>
          </w:tcPr>
          <w:p w:rsidR="000B1343" w:rsidRPr="00232280" w:rsidRDefault="00F829DC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37.2%</w:t>
            </w:r>
          </w:p>
        </w:tc>
      </w:tr>
      <w:tr w:rsidR="000B1343" w:rsidRPr="00232280" w:rsidTr="008B26B4">
        <w:tc>
          <w:tcPr>
            <w:tcW w:w="1170" w:type="dxa"/>
          </w:tcPr>
          <w:p w:rsidR="000B1343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DD" w:rsidRPr="00232280" w:rsidRDefault="00817BD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Net impact on overall college performance on this indicator</w:t>
            </w:r>
          </w:p>
        </w:tc>
        <w:tc>
          <w:tcPr>
            <w:tcW w:w="974" w:type="dxa"/>
          </w:tcPr>
          <w:p w:rsidR="000B1343" w:rsidRDefault="00817BD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  <w:r w:rsidR="003833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1F579F" w:rsidRPr="00232280" w:rsidRDefault="001F579F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 students</w:t>
            </w:r>
          </w:p>
        </w:tc>
        <w:tc>
          <w:tcPr>
            <w:tcW w:w="864" w:type="dxa"/>
          </w:tcPr>
          <w:p w:rsidR="000B1343" w:rsidRPr="00232280" w:rsidRDefault="00F829DC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37.7%</w:t>
            </w:r>
          </w:p>
        </w:tc>
        <w:tc>
          <w:tcPr>
            <w:tcW w:w="1080" w:type="dxa"/>
          </w:tcPr>
          <w:p w:rsidR="000B1343" w:rsidRPr="00232280" w:rsidRDefault="00F829DC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38.5%</w:t>
            </w:r>
          </w:p>
        </w:tc>
        <w:tc>
          <w:tcPr>
            <w:tcW w:w="990" w:type="dxa"/>
          </w:tcPr>
          <w:p w:rsidR="000B1343" w:rsidRPr="00232280" w:rsidRDefault="00F829DC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39.4%</w:t>
            </w:r>
          </w:p>
        </w:tc>
        <w:tc>
          <w:tcPr>
            <w:tcW w:w="990" w:type="dxa"/>
          </w:tcPr>
          <w:p w:rsidR="000B1343" w:rsidRPr="00232280" w:rsidRDefault="00F829DC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40.3%</w:t>
            </w:r>
          </w:p>
        </w:tc>
        <w:tc>
          <w:tcPr>
            <w:tcW w:w="990" w:type="dxa"/>
          </w:tcPr>
          <w:p w:rsidR="000B1343" w:rsidRPr="00232280" w:rsidRDefault="00F829DC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41.4%</w:t>
            </w:r>
          </w:p>
        </w:tc>
      </w:tr>
      <w:tr w:rsidR="00227E2D" w:rsidRPr="00232280" w:rsidTr="008B26B4">
        <w:tc>
          <w:tcPr>
            <w:tcW w:w="1170" w:type="dxa"/>
          </w:tcPr>
          <w:p w:rsidR="00227E2D" w:rsidRDefault="00817BDD" w:rsidP="007F6C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79F">
              <w:rPr>
                <w:rFonts w:ascii="Times New Roman" w:hAnsi="Times New Roman" w:cs="Times New Roman"/>
                <w:b/>
                <w:sz w:val="20"/>
                <w:szCs w:val="20"/>
              </w:rPr>
              <w:t>Remedial Math</w:t>
            </w:r>
          </w:p>
          <w:p w:rsidR="001F579F" w:rsidRPr="001F579F" w:rsidRDefault="001F579F" w:rsidP="007F6C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momentum</w:t>
            </w:r>
          </w:p>
          <w:p w:rsidR="00817BDD" w:rsidRDefault="00817BDD" w:rsidP="007F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DD" w:rsidRPr="00232280" w:rsidRDefault="00817BDD" w:rsidP="007F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227E2D" w:rsidRPr="00232280" w:rsidRDefault="00817BDD" w:rsidP="00F82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Increase the remedial Math momentum for African American students </w:t>
            </w:r>
            <w:r w:rsidR="00F829DC">
              <w:rPr>
                <w:rFonts w:ascii="Times New Roman" w:hAnsi="Times New Roman" w:cs="Times New Roman"/>
                <w:sz w:val="20"/>
                <w:szCs w:val="20"/>
              </w:rPr>
              <w:t>to 41%.</w:t>
            </w:r>
            <w:r w:rsidR="00383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</w:tcPr>
          <w:p w:rsidR="00227E2D" w:rsidRDefault="00383327" w:rsidP="007F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29.8%+</w:t>
            </w:r>
          </w:p>
          <w:p w:rsidR="001F579F" w:rsidRDefault="001F579F" w:rsidP="007F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79F" w:rsidRDefault="001F579F" w:rsidP="007F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 students</w:t>
            </w:r>
          </w:p>
          <w:p w:rsidR="001F579F" w:rsidRPr="00232280" w:rsidRDefault="001F579F" w:rsidP="007F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227E2D" w:rsidRPr="00232280" w:rsidRDefault="00F829DC" w:rsidP="007F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1080" w:type="dxa"/>
          </w:tcPr>
          <w:p w:rsidR="00227E2D" w:rsidRPr="00232280" w:rsidRDefault="00F829DC" w:rsidP="007F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34.3%</w:t>
            </w:r>
          </w:p>
        </w:tc>
        <w:tc>
          <w:tcPr>
            <w:tcW w:w="990" w:type="dxa"/>
          </w:tcPr>
          <w:p w:rsidR="00227E2D" w:rsidRPr="00232280" w:rsidRDefault="00F829DC" w:rsidP="007F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36.5%</w:t>
            </w:r>
          </w:p>
        </w:tc>
        <w:tc>
          <w:tcPr>
            <w:tcW w:w="990" w:type="dxa"/>
          </w:tcPr>
          <w:p w:rsidR="00227E2D" w:rsidRPr="00232280" w:rsidRDefault="00F829DC" w:rsidP="007F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38.7%</w:t>
            </w:r>
          </w:p>
        </w:tc>
        <w:tc>
          <w:tcPr>
            <w:tcW w:w="990" w:type="dxa"/>
          </w:tcPr>
          <w:p w:rsidR="00227E2D" w:rsidRPr="00232280" w:rsidRDefault="00F829DC" w:rsidP="007F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  <w:tr w:rsidR="00227E2D" w:rsidRPr="00232280" w:rsidTr="008B26B4">
        <w:tc>
          <w:tcPr>
            <w:tcW w:w="1170" w:type="dxa"/>
          </w:tcPr>
          <w:p w:rsidR="00227E2D" w:rsidRPr="00232280" w:rsidRDefault="00227E2D" w:rsidP="007F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227E2D" w:rsidRPr="00232280" w:rsidRDefault="00227E2D" w:rsidP="007F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Net impact on overall college performance on this indicator</w:t>
            </w:r>
          </w:p>
        </w:tc>
        <w:tc>
          <w:tcPr>
            <w:tcW w:w="974" w:type="dxa"/>
          </w:tcPr>
          <w:p w:rsidR="00227E2D" w:rsidRDefault="00383327" w:rsidP="007F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40.8+</w:t>
            </w:r>
          </w:p>
          <w:p w:rsidR="001F579F" w:rsidRPr="00232280" w:rsidRDefault="001F579F" w:rsidP="007F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 students</w:t>
            </w:r>
          </w:p>
        </w:tc>
        <w:tc>
          <w:tcPr>
            <w:tcW w:w="864" w:type="dxa"/>
          </w:tcPr>
          <w:p w:rsidR="00227E2D" w:rsidRPr="00232280" w:rsidRDefault="00F829DC" w:rsidP="007F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41.3%</w:t>
            </w:r>
          </w:p>
        </w:tc>
        <w:tc>
          <w:tcPr>
            <w:tcW w:w="1080" w:type="dxa"/>
          </w:tcPr>
          <w:p w:rsidR="00227E2D" w:rsidRPr="00232280" w:rsidRDefault="00F829DC" w:rsidP="007F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41.9%</w:t>
            </w:r>
          </w:p>
        </w:tc>
        <w:tc>
          <w:tcPr>
            <w:tcW w:w="990" w:type="dxa"/>
          </w:tcPr>
          <w:p w:rsidR="00227E2D" w:rsidRPr="00232280" w:rsidRDefault="00F829DC" w:rsidP="007F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42.6%</w:t>
            </w:r>
          </w:p>
        </w:tc>
        <w:tc>
          <w:tcPr>
            <w:tcW w:w="990" w:type="dxa"/>
          </w:tcPr>
          <w:p w:rsidR="00227E2D" w:rsidRPr="00232280" w:rsidRDefault="00F829DC" w:rsidP="007F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43.3%</w:t>
            </w:r>
          </w:p>
        </w:tc>
        <w:tc>
          <w:tcPr>
            <w:tcW w:w="990" w:type="dxa"/>
          </w:tcPr>
          <w:p w:rsidR="00227E2D" w:rsidRPr="00232280" w:rsidRDefault="00F829DC" w:rsidP="007F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</w:tbl>
    <w:p w:rsidR="00227E2D" w:rsidRPr="008853ED" w:rsidRDefault="00227E2D" w:rsidP="00227E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53ED">
        <w:rPr>
          <w:rFonts w:ascii="Times New Roman" w:hAnsi="Times New Roman" w:cs="Times New Roman"/>
          <w:sz w:val="20"/>
          <w:szCs w:val="20"/>
        </w:rPr>
        <w:t>+ Baseline measure comes from 2015 Student Success Scorecard Data, California Community Colleges Student Success Initiative</w:t>
      </w:r>
      <w:r w:rsidR="008853ED">
        <w:rPr>
          <w:rFonts w:ascii="Times New Roman" w:hAnsi="Times New Roman" w:cs="Times New Roman"/>
          <w:sz w:val="20"/>
          <w:szCs w:val="20"/>
        </w:rPr>
        <w:t xml:space="preserve">;   </w:t>
      </w:r>
      <w:r w:rsidRPr="008853ED">
        <w:rPr>
          <w:rFonts w:ascii="Times New Roman" w:hAnsi="Times New Roman" w:cs="Times New Roman"/>
          <w:sz w:val="20"/>
          <w:szCs w:val="20"/>
        </w:rPr>
        <w:t>*Net impact demonstrates the effect on overall college performance for this indicator, if the college achieves its equity target in this area.</w:t>
      </w:r>
    </w:p>
    <w:p w:rsidR="008853ED" w:rsidRDefault="008853ED" w:rsidP="000B1343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853ED" w:rsidSect="008853ED">
          <w:pgSz w:w="12240" w:h="15840"/>
          <w:pgMar w:top="1152" w:right="1152" w:bottom="1008" w:left="1152" w:header="720" w:footer="720" w:gutter="0"/>
          <w:cols w:space="720"/>
          <w:docGrid w:linePitch="360"/>
        </w:sectPr>
      </w:pP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GOAL THREE: </w:t>
      </w:r>
      <w:r w:rsidR="00AA05B9">
        <w:rPr>
          <w:rFonts w:ascii="Times New Roman" w:eastAsia="Times New Roman" w:hAnsi="Times New Roman" w:cs="Times New Roman"/>
          <w:b/>
          <w:sz w:val="24"/>
        </w:rPr>
        <w:t xml:space="preserve">Enhance </w:t>
      </w:r>
      <w:r>
        <w:rPr>
          <w:rFonts w:ascii="Times New Roman" w:eastAsia="Times New Roman" w:hAnsi="Times New Roman" w:cs="Times New Roman"/>
          <w:b/>
          <w:sz w:val="24"/>
        </w:rPr>
        <w:t>Career-Technical Education Certificates and Degrees</w:t>
      </w: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Description</w:t>
      </w: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6AA9" w:rsidRDefault="00AA05B9" w:rsidP="00316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Enhance </w:t>
      </w:r>
      <w:r w:rsidR="00316AA9">
        <w:rPr>
          <w:rFonts w:ascii="Times New Roman" w:eastAsia="Times New Roman" w:hAnsi="Times New Roman" w:cs="Times New Roman"/>
          <w:sz w:val="24"/>
        </w:rPr>
        <w:t xml:space="preserve">Career-Technical Education Certificates and Degrees: </w:t>
      </w:r>
      <w:r>
        <w:rPr>
          <w:rFonts w:ascii="Times New Roman" w:eastAsia="Times New Roman" w:hAnsi="Times New Roman" w:cs="Times New Roman"/>
          <w:i/>
          <w:sz w:val="24"/>
        </w:rPr>
        <w:t xml:space="preserve">Enhance the </w:t>
      </w:r>
      <w:r w:rsidR="00883862">
        <w:rPr>
          <w:rFonts w:ascii="Times New Roman" w:eastAsia="Times New Roman" w:hAnsi="Times New Roman" w:cs="Times New Roman"/>
          <w:i/>
          <w:sz w:val="24"/>
        </w:rPr>
        <w:t>BCC’s</w:t>
      </w:r>
      <w:r w:rsidR="00316AA9">
        <w:rPr>
          <w:rFonts w:ascii="Times New Roman" w:eastAsia="Times New Roman" w:hAnsi="Times New Roman" w:cs="Times New Roman"/>
          <w:i/>
          <w:sz w:val="24"/>
        </w:rPr>
        <w:t xml:space="preserve"> 1- and 2-year </w:t>
      </w:r>
      <w:r w:rsidR="00883862">
        <w:rPr>
          <w:rFonts w:ascii="Times New Roman" w:eastAsia="Times New Roman" w:hAnsi="Times New Roman" w:cs="Times New Roman"/>
          <w:i/>
          <w:sz w:val="24"/>
        </w:rPr>
        <w:t xml:space="preserve">career and technical education </w:t>
      </w:r>
      <w:r w:rsidR="00316AA9">
        <w:rPr>
          <w:rFonts w:ascii="Times New Roman" w:eastAsia="Times New Roman" w:hAnsi="Times New Roman" w:cs="Times New Roman"/>
          <w:i/>
          <w:sz w:val="24"/>
        </w:rPr>
        <w:t xml:space="preserve">programs </w:t>
      </w:r>
      <w:r>
        <w:rPr>
          <w:rFonts w:ascii="Times New Roman" w:eastAsia="Times New Roman" w:hAnsi="Times New Roman" w:cs="Times New Roman"/>
          <w:i/>
          <w:sz w:val="24"/>
        </w:rPr>
        <w:t xml:space="preserve">so that they equip students for </w:t>
      </w:r>
      <w:r w:rsidR="00316AA9">
        <w:rPr>
          <w:rFonts w:ascii="Times New Roman" w:eastAsia="Times New Roman" w:hAnsi="Times New Roman" w:cs="Times New Roman"/>
          <w:i/>
          <w:sz w:val="24"/>
        </w:rPr>
        <w:t xml:space="preserve">livable employment in our area, and </w:t>
      </w:r>
      <w:r>
        <w:rPr>
          <w:rFonts w:ascii="Times New Roman" w:eastAsia="Times New Roman" w:hAnsi="Times New Roman" w:cs="Times New Roman"/>
          <w:i/>
          <w:sz w:val="24"/>
        </w:rPr>
        <w:t xml:space="preserve">provide </w:t>
      </w:r>
      <w:r w:rsidR="008B036A">
        <w:rPr>
          <w:rFonts w:ascii="Times New Roman" w:eastAsia="Times New Roman" w:hAnsi="Times New Roman" w:cs="Times New Roman"/>
          <w:i/>
          <w:sz w:val="24"/>
        </w:rPr>
        <w:t xml:space="preserve">current and transferable skills and </w:t>
      </w:r>
      <w:r>
        <w:rPr>
          <w:rFonts w:ascii="Times New Roman" w:eastAsia="Times New Roman" w:hAnsi="Times New Roman" w:cs="Times New Roman"/>
          <w:i/>
          <w:sz w:val="24"/>
        </w:rPr>
        <w:t>competencies</w:t>
      </w:r>
      <w:r w:rsidR="00316AA9">
        <w:rPr>
          <w:rFonts w:ascii="Times New Roman" w:eastAsia="Times New Roman" w:hAnsi="Times New Roman" w:cs="Times New Roman"/>
          <w:i/>
          <w:sz w:val="24"/>
        </w:rPr>
        <w:t xml:space="preserve"> for advancement in the</w:t>
      </w:r>
      <w:r>
        <w:rPr>
          <w:rFonts w:ascii="Times New Roman" w:eastAsia="Times New Roman" w:hAnsi="Times New Roman" w:cs="Times New Roman"/>
          <w:i/>
          <w:sz w:val="24"/>
        </w:rPr>
        <w:t>ir</w:t>
      </w:r>
      <w:r w:rsidR="00316AA9">
        <w:rPr>
          <w:rFonts w:ascii="Times New Roman" w:eastAsia="Times New Roman" w:hAnsi="Times New Roman" w:cs="Times New Roman"/>
          <w:i/>
          <w:sz w:val="24"/>
        </w:rPr>
        <w:t xml:space="preserve"> career.</w:t>
      </w:r>
    </w:p>
    <w:p w:rsidR="00316AA9" w:rsidRDefault="00316AA9" w:rsidP="00FF376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</w:rPr>
      </w:pPr>
    </w:p>
    <w:p w:rsidR="00FF3762" w:rsidRDefault="00FF3762" w:rsidP="00FF37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 this goal, BCC has focused its performance indicators for the years 2016-20</w:t>
      </w:r>
      <w:r w:rsidR="00316B1E">
        <w:rPr>
          <w:rFonts w:ascii="Times New Roman" w:eastAsia="Times New Roman" w:hAnsi="Times New Roman" w:cs="Times New Roman"/>
          <w:sz w:val="24"/>
        </w:rPr>
        <w:t>21 on addressing the equity gap</w:t>
      </w:r>
      <w:r>
        <w:rPr>
          <w:rFonts w:ascii="Times New Roman" w:eastAsia="Times New Roman" w:hAnsi="Times New Roman" w:cs="Times New Roman"/>
          <w:sz w:val="24"/>
        </w:rPr>
        <w:t xml:space="preserve"> in three areas:</w:t>
      </w:r>
    </w:p>
    <w:p w:rsidR="00CA7832" w:rsidRDefault="00CA7832" w:rsidP="00FF37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CTE participation (access)</w:t>
      </w:r>
    </w:p>
    <w:p w:rsidR="00FF3762" w:rsidRDefault="00CA7832" w:rsidP="00FF37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CTE completion</w:t>
      </w:r>
      <w:r w:rsidR="000B5A20">
        <w:rPr>
          <w:rFonts w:ascii="Times New Roman" w:eastAsia="Times New Roman" w:hAnsi="Times New Roman" w:cs="Times New Roman"/>
          <w:sz w:val="24"/>
        </w:rPr>
        <w:t xml:space="preserve"> of certificate or degree by students who took 8 units in a single discipline</w:t>
      </w:r>
    </w:p>
    <w:p w:rsidR="00FF3762" w:rsidRPr="00AA05B9" w:rsidRDefault="00CA7832" w:rsidP="00FF37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CTE certificates</w:t>
      </w:r>
      <w:r w:rsidR="000B5A20">
        <w:rPr>
          <w:rFonts w:ascii="Times New Roman" w:eastAsia="Times New Roman" w:hAnsi="Times New Roman" w:cs="Times New Roman"/>
          <w:sz w:val="24"/>
        </w:rPr>
        <w:t xml:space="preserve"> earned</w:t>
      </w:r>
    </w:p>
    <w:p w:rsidR="00FF3762" w:rsidRPr="00FF3762" w:rsidRDefault="00FF3762" w:rsidP="00316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3762" w:rsidRDefault="00FF3762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Indicators of Excellence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339"/>
        <w:gridCol w:w="2212"/>
        <w:gridCol w:w="985"/>
        <w:gridCol w:w="864"/>
        <w:gridCol w:w="1080"/>
        <w:gridCol w:w="990"/>
        <w:gridCol w:w="990"/>
        <w:gridCol w:w="990"/>
      </w:tblGrid>
      <w:tr w:rsidR="000B1343" w:rsidRPr="00232280" w:rsidTr="008B26B4">
        <w:tc>
          <w:tcPr>
            <w:tcW w:w="117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Indicator</w:t>
            </w:r>
          </w:p>
        </w:tc>
        <w:tc>
          <w:tcPr>
            <w:tcW w:w="2212" w:type="dxa"/>
          </w:tcPr>
          <w:p w:rsidR="000B1343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Performance Measure</w:t>
            </w:r>
          </w:p>
          <w:p w:rsidR="00227E2D" w:rsidRPr="00232280" w:rsidRDefault="00227E2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[To be achieved during 5-year period.]</w:t>
            </w:r>
          </w:p>
        </w:tc>
        <w:tc>
          <w:tcPr>
            <w:tcW w:w="974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Measure</w:t>
            </w:r>
          </w:p>
        </w:tc>
        <w:tc>
          <w:tcPr>
            <w:tcW w:w="864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108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99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99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99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</w:tr>
      <w:tr w:rsidR="000B1343" w:rsidRPr="00232280" w:rsidTr="008B26B4">
        <w:tc>
          <w:tcPr>
            <w:tcW w:w="1170" w:type="dxa"/>
          </w:tcPr>
          <w:p w:rsidR="000B1343" w:rsidRPr="00CA7832" w:rsidRDefault="00CA7832" w:rsidP="008B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32">
              <w:rPr>
                <w:rFonts w:ascii="Times New Roman" w:hAnsi="Times New Roman" w:cs="Times New Roman"/>
                <w:b/>
                <w:sz w:val="20"/>
                <w:szCs w:val="20"/>
              </w:rPr>
              <w:t>CTE Participation</w:t>
            </w:r>
          </w:p>
        </w:tc>
        <w:tc>
          <w:tcPr>
            <w:tcW w:w="2212" w:type="dxa"/>
          </w:tcPr>
          <w:p w:rsidR="0032381A" w:rsidRDefault="00CA7832" w:rsidP="00323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 the CTE participation rate for Hispan</w:t>
            </w:r>
            <w:r w:rsidR="0032381A">
              <w:rPr>
                <w:rFonts w:ascii="Times New Roman" w:hAnsi="Times New Roman" w:cs="Times New Roman"/>
                <w:sz w:val="20"/>
                <w:szCs w:val="20"/>
              </w:rPr>
              <w:t>ic students by</w:t>
            </w:r>
          </w:p>
          <w:p w:rsidR="000B1343" w:rsidRPr="00232280" w:rsidRDefault="00CA7832" w:rsidP="00323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238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3238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</w:tcPr>
          <w:p w:rsidR="00CA7832" w:rsidRDefault="00CA7832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students</w:t>
            </w:r>
            <w:r w:rsidR="0032381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32381A" w:rsidRPr="00232280" w:rsidRDefault="0032381A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(8.5% of CTE students)</w:t>
            </w:r>
          </w:p>
        </w:tc>
        <w:tc>
          <w:tcPr>
            <w:tcW w:w="864" w:type="dxa"/>
          </w:tcPr>
          <w:p w:rsidR="000B1343" w:rsidRPr="00232280" w:rsidRDefault="0032381A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80" w:type="dxa"/>
          </w:tcPr>
          <w:p w:rsidR="000B1343" w:rsidRPr="00232280" w:rsidRDefault="0032381A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0" w:type="dxa"/>
          </w:tcPr>
          <w:p w:rsidR="000B1343" w:rsidRPr="00232280" w:rsidRDefault="0032381A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0B1343" w:rsidRPr="00232280" w:rsidRDefault="0032381A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0" w:type="dxa"/>
          </w:tcPr>
          <w:p w:rsidR="000B1343" w:rsidRDefault="0032381A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32381A" w:rsidRDefault="0032381A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  <w:p w:rsidR="0032381A" w:rsidRPr="00232280" w:rsidRDefault="0032381A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(14.6% of CTE students)</w:t>
            </w:r>
          </w:p>
        </w:tc>
      </w:tr>
      <w:tr w:rsidR="000B1343" w:rsidRPr="00232280" w:rsidTr="008B26B4">
        <w:tc>
          <w:tcPr>
            <w:tcW w:w="117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Net impact on overall college performance on this indicator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74" w:type="dxa"/>
          </w:tcPr>
          <w:p w:rsidR="000B1343" w:rsidRDefault="00CA7832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 students</w:t>
            </w:r>
            <w:r w:rsidR="000B5A2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CA7832" w:rsidRPr="00232280" w:rsidRDefault="00CA7832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32381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of BCC students)</w:t>
            </w:r>
          </w:p>
        </w:tc>
        <w:tc>
          <w:tcPr>
            <w:tcW w:w="864" w:type="dxa"/>
          </w:tcPr>
          <w:p w:rsidR="000B1343" w:rsidRPr="00232280" w:rsidRDefault="0032381A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080" w:type="dxa"/>
          </w:tcPr>
          <w:p w:rsidR="000B1343" w:rsidRPr="00232280" w:rsidRDefault="0032381A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990" w:type="dxa"/>
          </w:tcPr>
          <w:p w:rsidR="000B1343" w:rsidRPr="00232280" w:rsidRDefault="0032381A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990" w:type="dxa"/>
          </w:tcPr>
          <w:p w:rsidR="000B1343" w:rsidRPr="00232280" w:rsidRDefault="0032381A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90" w:type="dxa"/>
          </w:tcPr>
          <w:p w:rsidR="000B1343" w:rsidRDefault="0032381A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  <w:p w:rsidR="0032381A" w:rsidRDefault="0032381A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1A" w:rsidRPr="00232280" w:rsidRDefault="0032381A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3.8% of BCC students)</w:t>
            </w:r>
          </w:p>
        </w:tc>
      </w:tr>
      <w:tr w:rsidR="000B1343" w:rsidRPr="00232280" w:rsidTr="008B26B4">
        <w:tc>
          <w:tcPr>
            <w:tcW w:w="1170" w:type="dxa"/>
          </w:tcPr>
          <w:p w:rsidR="000B1343" w:rsidRPr="000B5A20" w:rsidRDefault="00CA7832" w:rsidP="008B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A20">
              <w:rPr>
                <w:rFonts w:ascii="Times New Roman" w:hAnsi="Times New Roman" w:cs="Times New Roman"/>
                <w:b/>
                <w:sz w:val="20"/>
                <w:szCs w:val="20"/>
              </w:rPr>
              <w:t>CTE Completion</w:t>
            </w:r>
          </w:p>
        </w:tc>
        <w:tc>
          <w:tcPr>
            <w:tcW w:w="2212" w:type="dxa"/>
          </w:tcPr>
          <w:p w:rsidR="000B1343" w:rsidRPr="00232280" w:rsidRDefault="00CA7832" w:rsidP="0091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Increase CTE completion rates for students 25 and older </w:t>
            </w:r>
            <w:r w:rsidR="00911C84">
              <w:rPr>
                <w:rFonts w:ascii="Times New Roman" w:hAnsi="Times New Roman" w:cs="Times New Roman"/>
                <w:sz w:val="20"/>
                <w:szCs w:val="20"/>
              </w:rPr>
              <w:t>to 45%.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</w:tcPr>
          <w:p w:rsidR="000B1343" w:rsidRDefault="00CA7832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31.8%</w:t>
            </w:r>
            <w:r w:rsidR="000B5A2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CA7832" w:rsidRDefault="00CA7832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832" w:rsidRPr="00232280" w:rsidRDefault="00CA7832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 students</w:t>
            </w:r>
          </w:p>
        </w:tc>
        <w:tc>
          <w:tcPr>
            <w:tcW w:w="864" w:type="dxa"/>
          </w:tcPr>
          <w:p w:rsidR="000B1343" w:rsidRPr="00232280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34.4%</w:t>
            </w:r>
          </w:p>
        </w:tc>
        <w:tc>
          <w:tcPr>
            <w:tcW w:w="1080" w:type="dxa"/>
          </w:tcPr>
          <w:p w:rsidR="000B1343" w:rsidRPr="00232280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990" w:type="dxa"/>
          </w:tcPr>
          <w:p w:rsidR="000B1343" w:rsidRPr="00232280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39.7%</w:t>
            </w:r>
          </w:p>
        </w:tc>
        <w:tc>
          <w:tcPr>
            <w:tcW w:w="990" w:type="dxa"/>
          </w:tcPr>
          <w:p w:rsidR="000B1343" w:rsidRPr="00232280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42.3%</w:t>
            </w:r>
          </w:p>
        </w:tc>
        <w:tc>
          <w:tcPr>
            <w:tcW w:w="990" w:type="dxa"/>
          </w:tcPr>
          <w:p w:rsidR="000B1343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  <w:p w:rsidR="00911C84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C84" w:rsidRPr="00232280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 students</w:t>
            </w:r>
          </w:p>
        </w:tc>
      </w:tr>
      <w:tr w:rsidR="000B1343" w:rsidRPr="00232280" w:rsidTr="008B26B4">
        <w:tc>
          <w:tcPr>
            <w:tcW w:w="117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Net impact on overall college performance on this indicator</w:t>
            </w:r>
          </w:p>
        </w:tc>
        <w:tc>
          <w:tcPr>
            <w:tcW w:w="974" w:type="dxa"/>
          </w:tcPr>
          <w:p w:rsidR="000B1343" w:rsidRDefault="00CA7832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39.1%</w:t>
            </w:r>
            <w:r w:rsidR="000B5A2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CA7832" w:rsidRPr="00232280" w:rsidRDefault="000B5A20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 students</w:t>
            </w:r>
          </w:p>
        </w:tc>
        <w:tc>
          <w:tcPr>
            <w:tcW w:w="864" w:type="dxa"/>
          </w:tcPr>
          <w:p w:rsidR="000B1343" w:rsidRPr="00232280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40.6%</w:t>
            </w:r>
          </w:p>
        </w:tc>
        <w:tc>
          <w:tcPr>
            <w:tcW w:w="1080" w:type="dxa"/>
          </w:tcPr>
          <w:p w:rsidR="000B1343" w:rsidRPr="00232280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42.3%</w:t>
            </w:r>
          </w:p>
        </w:tc>
        <w:tc>
          <w:tcPr>
            <w:tcW w:w="990" w:type="dxa"/>
          </w:tcPr>
          <w:p w:rsidR="000B1343" w:rsidRPr="00232280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44.2%</w:t>
            </w:r>
          </w:p>
        </w:tc>
        <w:tc>
          <w:tcPr>
            <w:tcW w:w="990" w:type="dxa"/>
          </w:tcPr>
          <w:p w:rsidR="000B1343" w:rsidRPr="00232280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990" w:type="dxa"/>
          </w:tcPr>
          <w:p w:rsidR="000B1343" w:rsidRPr="00232280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47.9%</w:t>
            </w:r>
          </w:p>
        </w:tc>
      </w:tr>
      <w:tr w:rsidR="000B1343" w:rsidRPr="00232280" w:rsidTr="008B26B4">
        <w:tc>
          <w:tcPr>
            <w:tcW w:w="1170" w:type="dxa"/>
          </w:tcPr>
          <w:p w:rsidR="000B1343" w:rsidRPr="000B5A20" w:rsidRDefault="000B5A20" w:rsidP="008B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A20">
              <w:rPr>
                <w:rFonts w:ascii="Times New Roman" w:hAnsi="Times New Roman" w:cs="Times New Roman"/>
                <w:b/>
                <w:sz w:val="20"/>
                <w:szCs w:val="20"/>
              </w:rPr>
              <w:t>CTE Certificates</w:t>
            </w:r>
          </w:p>
        </w:tc>
        <w:tc>
          <w:tcPr>
            <w:tcW w:w="2212" w:type="dxa"/>
          </w:tcPr>
          <w:p w:rsidR="000B1343" w:rsidRPr="00232280" w:rsidRDefault="000B5A20" w:rsidP="0091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Increase the number of </w:t>
            </w:r>
            <w:r w:rsidR="00911C84">
              <w:rPr>
                <w:rFonts w:ascii="Times New Roman" w:hAnsi="Times New Roman" w:cs="Times New Roman"/>
                <w:sz w:val="20"/>
                <w:szCs w:val="20"/>
              </w:rPr>
              <w:t xml:space="preserve">African American students who earn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CTE certificates </w:t>
            </w:r>
            <w:r w:rsidR="00911C84">
              <w:rPr>
                <w:rFonts w:ascii="Times New Roman" w:hAnsi="Times New Roman" w:cs="Times New Roman"/>
                <w:sz w:val="20"/>
                <w:szCs w:val="20"/>
              </w:rPr>
              <w:t>by 25%.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</w:tcPr>
          <w:p w:rsidR="000B5A20" w:rsidRPr="00232280" w:rsidRDefault="000B5A20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 students</w:t>
            </w:r>
          </w:p>
        </w:tc>
        <w:tc>
          <w:tcPr>
            <w:tcW w:w="864" w:type="dxa"/>
          </w:tcPr>
          <w:p w:rsidR="000B1343" w:rsidRPr="00232280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080" w:type="dxa"/>
          </w:tcPr>
          <w:p w:rsidR="000B1343" w:rsidRPr="00232280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</w:tcPr>
          <w:p w:rsidR="000B1343" w:rsidRPr="00232280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90" w:type="dxa"/>
          </w:tcPr>
          <w:p w:rsidR="000B1343" w:rsidRPr="00232280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0" w:type="dxa"/>
          </w:tcPr>
          <w:p w:rsidR="000B1343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911C84" w:rsidRPr="00232280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</w:tr>
      <w:tr w:rsidR="000B1343" w:rsidRPr="00232280" w:rsidTr="008B26B4">
        <w:tc>
          <w:tcPr>
            <w:tcW w:w="117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Net impact on overall college performance on this indicator</w:t>
            </w:r>
          </w:p>
        </w:tc>
        <w:tc>
          <w:tcPr>
            <w:tcW w:w="974" w:type="dxa"/>
          </w:tcPr>
          <w:p w:rsidR="000B5A20" w:rsidRPr="00232280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 w:rsidR="000B5A20">
              <w:rPr>
                <w:rFonts w:ascii="Times New Roman" w:hAnsi="Times New Roman" w:cs="Times New Roman"/>
                <w:sz w:val="20"/>
                <w:szCs w:val="20"/>
              </w:rPr>
              <w:t xml:space="preserve"> students</w:t>
            </w:r>
          </w:p>
        </w:tc>
        <w:tc>
          <w:tcPr>
            <w:tcW w:w="864" w:type="dxa"/>
          </w:tcPr>
          <w:p w:rsidR="000B1343" w:rsidRPr="00232280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080" w:type="dxa"/>
          </w:tcPr>
          <w:p w:rsidR="000B1343" w:rsidRPr="00232280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90" w:type="dxa"/>
          </w:tcPr>
          <w:p w:rsidR="000B1343" w:rsidRPr="00232280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990" w:type="dxa"/>
          </w:tcPr>
          <w:p w:rsidR="000B1343" w:rsidRPr="00232280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90" w:type="dxa"/>
          </w:tcPr>
          <w:p w:rsidR="000B1343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  <w:p w:rsidR="00911C84" w:rsidRPr="00232280" w:rsidRDefault="00911C84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(up 12.7%)</w:t>
            </w:r>
          </w:p>
        </w:tc>
      </w:tr>
    </w:tbl>
    <w:p w:rsidR="00227E2D" w:rsidRPr="0020047A" w:rsidRDefault="00227E2D" w:rsidP="00227E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 Baseline measure comes from 2015 Student Success Scorecard Data, California Community Colleges Student Success Initiative</w:t>
      </w:r>
      <w:r w:rsidR="000B5A20">
        <w:rPr>
          <w:rFonts w:ascii="Times New Roman" w:hAnsi="Times New Roman" w:cs="Times New Roman"/>
          <w:sz w:val="20"/>
          <w:szCs w:val="20"/>
        </w:rPr>
        <w:t xml:space="preserve">;     </w:t>
      </w:r>
      <w:r>
        <w:rPr>
          <w:rFonts w:ascii="Times New Roman" w:hAnsi="Times New Roman" w:cs="Times New Roman"/>
          <w:sz w:val="20"/>
          <w:szCs w:val="20"/>
        </w:rPr>
        <w:t>*Net impact demonstrates the effect on overall college performance for this indicator, if the college achieves its equity target in this area.</w:t>
      </w:r>
    </w:p>
    <w:p w:rsidR="000B1343" w:rsidRDefault="000B1343" w:rsidP="00316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5A20" w:rsidRDefault="000B5A20" w:rsidP="00316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5A20" w:rsidRDefault="000B5A20" w:rsidP="00316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5A20" w:rsidRDefault="000B5A20" w:rsidP="00316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5A20" w:rsidRDefault="000B5A20" w:rsidP="00316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5A20" w:rsidRDefault="000B5A20" w:rsidP="00316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5A20" w:rsidRDefault="000B5A20" w:rsidP="00316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6AA9" w:rsidRDefault="00316AA9" w:rsidP="00316AA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</w:rPr>
      </w:pP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GOAL FOUR: </w:t>
      </w:r>
      <w:r w:rsidR="00AA05B9">
        <w:rPr>
          <w:rFonts w:ascii="Times New Roman" w:eastAsia="Times New Roman" w:hAnsi="Times New Roman" w:cs="Times New Roman"/>
          <w:b/>
          <w:sz w:val="24"/>
        </w:rPr>
        <w:t xml:space="preserve">Increase </w:t>
      </w:r>
      <w:r>
        <w:rPr>
          <w:rFonts w:ascii="Times New Roman" w:eastAsia="Times New Roman" w:hAnsi="Times New Roman" w:cs="Times New Roman"/>
          <w:b/>
          <w:sz w:val="24"/>
        </w:rPr>
        <w:t>Transfer and Transfer Degrees</w:t>
      </w: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Description</w:t>
      </w: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6AA9" w:rsidRDefault="00AA05B9" w:rsidP="00316A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Increase </w:t>
      </w:r>
      <w:r w:rsidR="00316AA9">
        <w:rPr>
          <w:rFonts w:ascii="Times New Roman" w:eastAsia="Times New Roman" w:hAnsi="Times New Roman" w:cs="Times New Roman"/>
          <w:sz w:val="24"/>
        </w:rPr>
        <w:t xml:space="preserve">Transfer and Transfer Degrees: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Ensure that</w:t>
      </w:r>
      <w:r w:rsidR="00316AA9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8B036A">
        <w:rPr>
          <w:rFonts w:ascii="Times New Roman" w:eastAsia="Times New Roman" w:hAnsi="Times New Roman" w:cs="Times New Roman"/>
          <w:i/>
          <w:color w:val="000000"/>
          <w:sz w:val="24"/>
        </w:rPr>
        <w:t xml:space="preserve">all of </w:t>
      </w:r>
      <w:r w:rsidR="00883862">
        <w:rPr>
          <w:rFonts w:ascii="Times New Roman" w:eastAsia="Times New Roman" w:hAnsi="Times New Roman" w:cs="Times New Roman"/>
          <w:i/>
          <w:color w:val="000000"/>
          <w:sz w:val="24"/>
        </w:rPr>
        <w:t xml:space="preserve">BCC’s </w:t>
      </w:r>
      <w:r w:rsidR="00316AA9">
        <w:rPr>
          <w:rFonts w:ascii="Times New Roman" w:eastAsia="Times New Roman" w:hAnsi="Times New Roman" w:cs="Times New Roman"/>
          <w:i/>
          <w:color w:val="000000"/>
          <w:sz w:val="24"/>
        </w:rPr>
        <w:t>programs of study and transfer pathways for degrees prepare students, in a timely manner, for multiple transfer options.</w:t>
      </w:r>
    </w:p>
    <w:p w:rsidR="00316AA9" w:rsidRDefault="00316AA9" w:rsidP="00316AA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</w:rPr>
      </w:pPr>
    </w:p>
    <w:p w:rsidR="00FF3762" w:rsidRDefault="00FF3762" w:rsidP="00FF37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 this goal, BCC has focused its performance indicators for the years 2016-2021 on addressing the equity gap in three areas:</w:t>
      </w:r>
    </w:p>
    <w:p w:rsidR="00FF3762" w:rsidRDefault="005C37B7" w:rsidP="00FF37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Completion, overall: completion of degrees or transfers by all students</w:t>
      </w:r>
    </w:p>
    <w:p w:rsidR="00FF3762" w:rsidRDefault="005C37B7" w:rsidP="00FF37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Transfers: Number of students transfer</w:t>
      </w:r>
      <w:r w:rsidR="00800CC2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ing from BCC to any 4-year college or university </w:t>
      </w:r>
    </w:p>
    <w:p w:rsidR="005C37B7" w:rsidRPr="00AA05B9" w:rsidRDefault="005C37B7" w:rsidP="00FF37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Degrees: Number of students earning degrees</w:t>
      </w:r>
    </w:p>
    <w:p w:rsidR="00FF3762" w:rsidRDefault="00FF3762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B1343" w:rsidRDefault="00316AA9" w:rsidP="000B134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Indicators of Excellence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266"/>
        <w:gridCol w:w="2212"/>
        <w:gridCol w:w="974"/>
        <w:gridCol w:w="864"/>
        <w:gridCol w:w="1080"/>
        <w:gridCol w:w="990"/>
        <w:gridCol w:w="990"/>
        <w:gridCol w:w="990"/>
      </w:tblGrid>
      <w:tr w:rsidR="000B1343" w:rsidRPr="00232280" w:rsidTr="00227E2D">
        <w:tc>
          <w:tcPr>
            <w:tcW w:w="117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Indicator</w:t>
            </w:r>
          </w:p>
        </w:tc>
        <w:tc>
          <w:tcPr>
            <w:tcW w:w="2212" w:type="dxa"/>
          </w:tcPr>
          <w:p w:rsidR="000B1343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Performance Measure</w:t>
            </w:r>
          </w:p>
          <w:p w:rsidR="00227E2D" w:rsidRPr="00232280" w:rsidRDefault="00227E2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[To be achieved during 5-year period.]</w:t>
            </w:r>
          </w:p>
        </w:tc>
        <w:tc>
          <w:tcPr>
            <w:tcW w:w="974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Measure</w:t>
            </w:r>
          </w:p>
        </w:tc>
        <w:tc>
          <w:tcPr>
            <w:tcW w:w="864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108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99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99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99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</w:tr>
      <w:tr w:rsidR="000B1343" w:rsidRPr="00232280" w:rsidTr="00227E2D">
        <w:tc>
          <w:tcPr>
            <w:tcW w:w="1170" w:type="dxa"/>
          </w:tcPr>
          <w:p w:rsidR="000B1343" w:rsidRPr="005C37B7" w:rsidRDefault="005C37B7" w:rsidP="008B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7B7">
              <w:rPr>
                <w:rFonts w:ascii="Times New Roman" w:hAnsi="Times New Roman" w:cs="Times New Roman"/>
                <w:b/>
                <w:sz w:val="20"/>
                <w:szCs w:val="20"/>
              </w:rPr>
              <w:t>Completion, overall</w:t>
            </w:r>
          </w:p>
        </w:tc>
        <w:tc>
          <w:tcPr>
            <w:tcW w:w="2212" w:type="dxa"/>
          </w:tcPr>
          <w:p w:rsidR="005C37B7" w:rsidRPr="00232280" w:rsidRDefault="005C37B7" w:rsidP="007F7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Increase the overall completion rate for African American students </w:t>
            </w:r>
            <w:r w:rsidR="007F7EED">
              <w:rPr>
                <w:rFonts w:ascii="Times New Roman" w:hAnsi="Times New Roman" w:cs="Times New Roman"/>
                <w:sz w:val="20"/>
                <w:szCs w:val="20"/>
              </w:rPr>
              <w:t>to 46%.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</w:tcPr>
          <w:p w:rsidR="000B1343" w:rsidRDefault="005C37B7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22.4%</w:t>
            </w:r>
            <w:r w:rsidR="00800C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C37B7" w:rsidRDefault="005C37B7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232280" w:rsidRDefault="005C37B7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students</w:t>
            </w:r>
          </w:p>
        </w:tc>
        <w:tc>
          <w:tcPr>
            <w:tcW w:w="864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27.1%</w:t>
            </w:r>
          </w:p>
        </w:tc>
        <w:tc>
          <w:tcPr>
            <w:tcW w:w="1080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31.8%</w:t>
            </w:r>
          </w:p>
        </w:tc>
        <w:tc>
          <w:tcPr>
            <w:tcW w:w="990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36.5%</w:t>
            </w:r>
          </w:p>
        </w:tc>
        <w:tc>
          <w:tcPr>
            <w:tcW w:w="990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41.2%</w:t>
            </w:r>
          </w:p>
        </w:tc>
        <w:tc>
          <w:tcPr>
            <w:tcW w:w="990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</w:tr>
      <w:tr w:rsidR="000B1343" w:rsidRPr="00232280" w:rsidTr="00227E2D">
        <w:tc>
          <w:tcPr>
            <w:tcW w:w="117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Net impact on overall college performance on this indicator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74" w:type="dxa"/>
          </w:tcPr>
          <w:p w:rsidR="005C37B7" w:rsidRDefault="005C37B7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45.4%</w:t>
            </w:r>
            <w:r w:rsidR="00800C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C37B7" w:rsidRPr="00232280" w:rsidRDefault="005C37B7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 students</w:t>
            </w:r>
          </w:p>
        </w:tc>
        <w:tc>
          <w:tcPr>
            <w:tcW w:w="864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45.6%</w:t>
            </w:r>
          </w:p>
        </w:tc>
        <w:tc>
          <w:tcPr>
            <w:tcW w:w="1080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45.9%</w:t>
            </w:r>
          </w:p>
        </w:tc>
        <w:tc>
          <w:tcPr>
            <w:tcW w:w="990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46.2%</w:t>
            </w:r>
          </w:p>
        </w:tc>
        <w:tc>
          <w:tcPr>
            <w:tcW w:w="990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46.7%</w:t>
            </w:r>
          </w:p>
        </w:tc>
        <w:tc>
          <w:tcPr>
            <w:tcW w:w="990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47.1%</w:t>
            </w:r>
          </w:p>
        </w:tc>
      </w:tr>
      <w:tr w:rsidR="000B1343" w:rsidRPr="00232280" w:rsidTr="00227E2D">
        <w:tc>
          <w:tcPr>
            <w:tcW w:w="1170" w:type="dxa"/>
          </w:tcPr>
          <w:p w:rsidR="000B1343" w:rsidRPr="005C37B7" w:rsidRDefault="005C37B7" w:rsidP="008B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7B7">
              <w:rPr>
                <w:rFonts w:ascii="Times New Roman" w:hAnsi="Times New Roman" w:cs="Times New Roman"/>
                <w:b/>
                <w:sz w:val="20"/>
                <w:szCs w:val="20"/>
              </w:rPr>
              <w:t>Transfers</w:t>
            </w:r>
          </w:p>
        </w:tc>
        <w:tc>
          <w:tcPr>
            <w:tcW w:w="2212" w:type="dxa"/>
          </w:tcPr>
          <w:p w:rsidR="000B1343" w:rsidRPr="00232280" w:rsidRDefault="005C37B7" w:rsidP="007F7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Increase the number of transfers for Hispanic students </w:t>
            </w:r>
            <w:r w:rsidR="007F7EED">
              <w:rPr>
                <w:rFonts w:ascii="Times New Roman" w:hAnsi="Times New Roman" w:cs="Times New Roman"/>
                <w:sz w:val="20"/>
                <w:szCs w:val="20"/>
              </w:rPr>
              <w:t>by 200%.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</w:tcPr>
          <w:p w:rsidR="00800CC2" w:rsidRDefault="005C37B7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00CC2">
              <w:rPr>
                <w:rFonts w:ascii="Times New Roman" w:hAnsi="Times New Roman" w:cs="Times New Roman"/>
                <w:sz w:val="20"/>
                <w:szCs w:val="20"/>
              </w:rPr>
              <w:t xml:space="preserve"> transfers</w:t>
            </w:r>
          </w:p>
          <w:p w:rsidR="005C37B7" w:rsidRPr="00232280" w:rsidRDefault="005C37B7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students</w:t>
            </w:r>
          </w:p>
        </w:tc>
        <w:tc>
          <w:tcPr>
            <w:tcW w:w="864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80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0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0" w:type="dxa"/>
          </w:tcPr>
          <w:p w:rsidR="000B1343" w:rsidRPr="00232280" w:rsidRDefault="002F6F0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B1343" w:rsidRPr="00232280" w:rsidTr="00227E2D">
        <w:tc>
          <w:tcPr>
            <w:tcW w:w="117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Net impact on overall college performance on this indicator</w:t>
            </w:r>
          </w:p>
        </w:tc>
        <w:tc>
          <w:tcPr>
            <w:tcW w:w="974" w:type="dxa"/>
          </w:tcPr>
          <w:p w:rsidR="000B1343" w:rsidRDefault="00800CC2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 transfers</w:t>
            </w:r>
          </w:p>
          <w:p w:rsidR="00800CC2" w:rsidRPr="00232280" w:rsidRDefault="00800CC2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 students</w:t>
            </w:r>
          </w:p>
        </w:tc>
        <w:tc>
          <w:tcPr>
            <w:tcW w:w="864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080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990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90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990" w:type="dxa"/>
          </w:tcPr>
          <w:p w:rsidR="000B1343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  <w:p w:rsidR="007F7EED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ED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11%)</w:t>
            </w:r>
          </w:p>
        </w:tc>
      </w:tr>
      <w:tr w:rsidR="000B1343" w:rsidRPr="00232280" w:rsidTr="00227E2D">
        <w:tc>
          <w:tcPr>
            <w:tcW w:w="1170" w:type="dxa"/>
          </w:tcPr>
          <w:p w:rsidR="000B1343" w:rsidRPr="005C37B7" w:rsidRDefault="005C37B7" w:rsidP="008B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7B7">
              <w:rPr>
                <w:rFonts w:ascii="Times New Roman" w:hAnsi="Times New Roman" w:cs="Times New Roman"/>
                <w:b/>
                <w:sz w:val="20"/>
                <w:szCs w:val="20"/>
              </w:rPr>
              <w:t>Degrees</w:t>
            </w:r>
          </w:p>
        </w:tc>
        <w:tc>
          <w:tcPr>
            <w:tcW w:w="2212" w:type="dxa"/>
          </w:tcPr>
          <w:p w:rsidR="000B1343" w:rsidRPr="00232280" w:rsidRDefault="00800CC2" w:rsidP="007F7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Increase the number of African American students earning degrees </w:t>
            </w:r>
            <w:r w:rsidR="007F7EED">
              <w:rPr>
                <w:rFonts w:ascii="Times New Roman" w:hAnsi="Times New Roman" w:cs="Times New Roman"/>
                <w:sz w:val="20"/>
                <w:szCs w:val="20"/>
              </w:rPr>
              <w:t>by 200%.</w:t>
            </w:r>
          </w:p>
        </w:tc>
        <w:tc>
          <w:tcPr>
            <w:tcW w:w="974" w:type="dxa"/>
          </w:tcPr>
          <w:p w:rsidR="00800CC2" w:rsidRPr="00232280" w:rsidRDefault="00800CC2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students</w:t>
            </w:r>
          </w:p>
        </w:tc>
        <w:tc>
          <w:tcPr>
            <w:tcW w:w="864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80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0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0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0" w:type="dxa"/>
          </w:tcPr>
          <w:p w:rsidR="000B1343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7F7EED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</w:tr>
      <w:tr w:rsidR="000B1343" w:rsidRPr="00232280" w:rsidTr="00227E2D">
        <w:tc>
          <w:tcPr>
            <w:tcW w:w="117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Net impact on overall college performance on this indicator</w:t>
            </w:r>
          </w:p>
        </w:tc>
        <w:tc>
          <w:tcPr>
            <w:tcW w:w="974" w:type="dxa"/>
          </w:tcPr>
          <w:p w:rsidR="000B1343" w:rsidRPr="00232280" w:rsidRDefault="00800CC2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 students</w:t>
            </w:r>
          </w:p>
        </w:tc>
        <w:tc>
          <w:tcPr>
            <w:tcW w:w="864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080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0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90" w:type="dxa"/>
          </w:tcPr>
          <w:p w:rsidR="000B1343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90" w:type="dxa"/>
          </w:tcPr>
          <w:p w:rsidR="000B1343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  <w:p w:rsidR="007F7EED" w:rsidRPr="00232280" w:rsidRDefault="007F7EE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28%)</w:t>
            </w:r>
          </w:p>
        </w:tc>
      </w:tr>
    </w:tbl>
    <w:p w:rsidR="00227E2D" w:rsidRPr="0020047A" w:rsidRDefault="00227E2D" w:rsidP="00227E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 Baseline measure comes from 2015 Student Success Scorecard Data, California Community Colleges Student Success Initiative</w:t>
      </w:r>
      <w:r w:rsidR="00800CC2">
        <w:rPr>
          <w:rFonts w:ascii="Times New Roman" w:hAnsi="Times New Roman" w:cs="Times New Roman"/>
          <w:sz w:val="20"/>
          <w:szCs w:val="20"/>
        </w:rPr>
        <w:t xml:space="preserve">;    </w:t>
      </w:r>
      <w:r>
        <w:rPr>
          <w:rFonts w:ascii="Times New Roman" w:hAnsi="Times New Roman" w:cs="Times New Roman"/>
          <w:sz w:val="20"/>
          <w:szCs w:val="20"/>
        </w:rPr>
        <w:t>*Net impact demonstrates the effect on overall college performance for this indicator, if the college achieves its equity target in this area.</w:t>
      </w:r>
    </w:p>
    <w:p w:rsidR="000B1343" w:rsidRDefault="000B1343" w:rsidP="00316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6AA9" w:rsidRDefault="00316AA9" w:rsidP="00316AA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800CC2" w:rsidRDefault="00800CC2" w:rsidP="00316AA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800CC2" w:rsidRDefault="00800CC2" w:rsidP="00316AA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800CC2" w:rsidRDefault="00800CC2" w:rsidP="00316AA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800CC2" w:rsidRDefault="00800CC2" w:rsidP="00316AA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800CC2" w:rsidRDefault="00800CC2" w:rsidP="00316AA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800CC2" w:rsidRDefault="00800CC2" w:rsidP="00316AA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800CC2" w:rsidRDefault="00800CC2" w:rsidP="00316AA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800CC2" w:rsidRDefault="00800CC2" w:rsidP="00316AA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316AA9" w:rsidRDefault="00316AA9" w:rsidP="00316AA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GOAL FIVE: </w:t>
      </w:r>
      <w:r w:rsidR="00FF3762">
        <w:rPr>
          <w:rFonts w:ascii="Times New Roman" w:eastAsia="Times New Roman" w:hAnsi="Times New Roman" w:cs="Times New Roman"/>
          <w:b/>
          <w:sz w:val="24"/>
        </w:rPr>
        <w:t xml:space="preserve">Ensure </w:t>
      </w:r>
      <w:r>
        <w:rPr>
          <w:rFonts w:ascii="Times New Roman" w:eastAsia="Times New Roman" w:hAnsi="Times New Roman" w:cs="Times New Roman"/>
          <w:b/>
          <w:sz w:val="24"/>
        </w:rPr>
        <w:t>Institutional Sustainability</w:t>
      </w: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Description</w:t>
      </w: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309B2" w:rsidRDefault="00FF3762" w:rsidP="00316AA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Ensure </w:t>
      </w:r>
      <w:r w:rsidR="001309B2">
        <w:rPr>
          <w:rFonts w:ascii="Times New Roman" w:eastAsia="Times New Roman" w:hAnsi="Times New Roman" w:cs="Times New Roman"/>
          <w:sz w:val="24"/>
        </w:rPr>
        <w:t xml:space="preserve">Institutional Sustainability: </w:t>
      </w:r>
      <w:r w:rsidR="001309B2">
        <w:rPr>
          <w:rFonts w:ascii="Times New Roman" w:eastAsia="Times New Roman" w:hAnsi="Times New Roman" w:cs="Times New Roman"/>
          <w:i/>
          <w:sz w:val="24"/>
        </w:rPr>
        <w:t>I</w:t>
      </w:r>
      <w:r>
        <w:rPr>
          <w:rFonts w:ascii="Times New Roman" w:eastAsia="Times New Roman" w:hAnsi="Times New Roman" w:cs="Times New Roman"/>
          <w:i/>
          <w:sz w:val="24"/>
        </w:rPr>
        <w:t>ncrease</w:t>
      </w:r>
      <w:r w:rsidR="00316AA9">
        <w:rPr>
          <w:rFonts w:ascii="Times New Roman" w:eastAsia="Times New Roman" w:hAnsi="Times New Roman" w:cs="Times New Roman"/>
          <w:i/>
          <w:sz w:val="24"/>
        </w:rPr>
        <w:t xml:space="preserve"> BCC’s impact in education through innovation, internal and external collaboration and partnerships, and </w:t>
      </w:r>
      <w:r w:rsidR="001309B2">
        <w:rPr>
          <w:rFonts w:ascii="Times New Roman" w:eastAsia="Times New Roman" w:hAnsi="Times New Roman" w:cs="Times New Roman"/>
          <w:i/>
          <w:sz w:val="24"/>
        </w:rPr>
        <w:t>sufficient</w:t>
      </w:r>
      <w:r w:rsidR="00316AA9">
        <w:rPr>
          <w:rFonts w:ascii="Times New Roman" w:eastAsia="Times New Roman" w:hAnsi="Times New Roman" w:cs="Times New Roman"/>
          <w:i/>
          <w:sz w:val="24"/>
        </w:rPr>
        <w:t xml:space="preserve"> resources</w:t>
      </w:r>
      <w:r w:rsidR="001309B2">
        <w:rPr>
          <w:rFonts w:ascii="Times New Roman" w:eastAsia="Times New Roman" w:hAnsi="Times New Roman" w:cs="Times New Roman"/>
          <w:i/>
          <w:sz w:val="24"/>
        </w:rPr>
        <w:t>, both short-term and long term</w:t>
      </w:r>
      <w:r w:rsidR="00316AA9">
        <w:rPr>
          <w:rFonts w:ascii="Times New Roman" w:eastAsia="Times New Roman" w:hAnsi="Times New Roman" w:cs="Times New Roman"/>
          <w:i/>
          <w:sz w:val="24"/>
        </w:rPr>
        <w:t>.</w:t>
      </w:r>
    </w:p>
    <w:p w:rsidR="001309B2" w:rsidRDefault="001309B2" w:rsidP="00316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9B2" w:rsidRDefault="001309B2" w:rsidP="001309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 this goal, BCC has focused its performance indicators for the years 2016-2021 on addressing the equity</w:t>
      </w:r>
      <w:r w:rsidR="00655931">
        <w:rPr>
          <w:rFonts w:ascii="Times New Roman" w:eastAsia="Times New Roman" w:hAnsi="Times New Roman" w:cs="Times New Roman"/>
          <w:sz w:val="24"/>
        </w:rPr>
        <w:t xml:space="preserve"> gap</w:t>
      </w:r>
      <w:r>
        <w:rPr>
          <w:rFonts w:ascii="Times New Roman" w:eastAsia="Times New Roman" w:hAnsi="Times New Roman" w:cs="Times New Roman"/>
          <w:sz w:val="24"/>
        </w:rPr>
        <w:t xml:space="preserve"> in </w:t>
      </w:r>
      <w:r w:rsidR="00655931">
        <w:rPr>
          <w:rFonts w:ascii="Times New Roman" w:eastAsia="Times New Roman" w:hAnsi="Times New Roman" w:cs="Times New Roman"/>
          <w:sz w:val="24"/>
        </w:rPr>
        <w:t>t</w:t>
      </w:r>
      <w:r w:rsidR="004C4BC3">
        <w:rPr>
          <w:rFonts w:ascii="Times New Roman" w:eastAsia="Times New Roman" w:hAnsi="Times New Roman" w:cs="Times New Roman"/>
          <w:sz w:val="24"/>
        </w:rPr>
        <w:t>hree</w:t>
      </w:r>
      <w:r>
        <w:rPr>
          <w:rFonts w:ascii="Times New Roman" w:eastAsia="Times New Roman" w:hAnsi="Times New Roman" w:cs="Times New Roman"/>
          <w:sz w:val="24"/>
        </w:rPr>
        <w:t xml:space="preserve"> areas:</w:t>
      </w:r>
    </w:p>
    <w:p w:rsidR="001309B2" w:rsidRDefault="00655931" w:rsidP="001309B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FTES: Full time equivalent students are at the level expected for BCC to serve its community</w:t>
      </w:r>
    </w:p>
    <w:p w:rsidR="00655931" w:rsidRDefault="00655931" w:rsidP="001309B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55931">
        <w:rPr>
          <w:rFonts w:ascii="Times New Roman" w:eastAsia="Times New Roman" w:hAnsi="Times New Roman" w:cs="Times New Roman"/>
          <w:sz w:val="24"/>
        </w:rPr>
        <w:t xml:space="preserve">Clean audit: no negative findings </w:t>
      </w:r>
      <w:r>
        <w:rPr>
          <w:rFonts w:ascii="Times New Roman" w:eastAsia="Times New Roman" w:hAnsi="Times New Roman" w:cs="Times New Roman"/>
          <w:sz w:val="24"/>
        </w:rPr>
        <w:t>in the externally audited financial statements</w:t>
      </w:r>
    </w:p>
    <w:p w:rsidR="00316AA9" w:rsidRPr="00655931" w:rsidRDefault="00655931" w:rsidP="00316A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55931">
        <w:rPr>
          <w:rFonts w:ascii="Times New Roman" w:eastAsia="Times New Roman" w:hAnsi="Times New Roman" w:cs="Times New Roman"/>
          <w:sz w:val="24"/>
        </w:rPr>
        <w:t>Working BAM: The budget allocation model is fully operational and sustains the college operations</w:t>
      </w:r>
      <w:r w:rsidR="00316AA9" w:rsidRPr="00655931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16AA9" w:rsidRDefault="00316AA9" w:rsidP="00316AA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B1343" w:rsidRDefault="00316AA9" w:rsidP="000B134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Indicators of Excellence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170"/>
        <w:gridCol w:w="2212"/>
        <w:gridCol w:w="1261"/>
        <w:gridCol w:w="864"/>
        <w:gridCol w:w="1080"/>
        <w:gridCol w:w="990"/>
        <w:gridCol w:w="990"/>
        <w:gridCol w:w="990"/>
      </w:tblGrid>
      <w:tr w:rsidR="000B1343" w:rsidRPr="00232280" w:rsidTr="008B26B4">
        <w:tc>
          <w:tcPr>
            <w:tcW w:w="117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Indicator</w:t>
            </w:r>
          </w:p>
        </w:tc>
        <w:tc>
          <w:tcPr>
            <w:tcW w:w="2212" w:type="dxa"/>
          </w:tcPr>
          <w:p w:rsidR="000B1343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Performance Measure</w:t>
            </w:r>
          </w:p>
          <w:p w:rsidR="00227E2D" w:rsidRPr="00232280" w:rsidRDefault="00227E2D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[To be achieved during 5-year period.]</w:t>
            </w:r>
          </w:p>
        </w:tc>
        <w:tc>
          <w:tcPr>
            <w:tcW w:w="974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Measure</w:t>
            </w:r>
          </w:p>
        </w:tc>
        <w:tc>
          <w:tcPr>
            <w:tcW w:w="864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108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99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99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99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80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</w:tr>
      <w:tr w:rsidR="000B1343" w:rsidRPr="00232280" w:rsidTr="008B26B4">
        <w:tc>
          <w:tcPr>
            <w:tcW w:w="1170" w:type="dxa"/>
          </w:tcPr>
          <w:p w:rsidR="000B1343" w:rsidRPr="004C4BC3" w:rsidRDefault="00655931" w:rsidP="008B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C3">
              <w:rPr>
                <w:rFonts w:ascii="Times New Roman" w:hAnsi="Times New Roman" w:cs="Times New Roman"/>
                <w:b/>
                <w:sz w:val="20"/>
                <w:szCs w:val="20"/>
              </w:rPr>
              <w:t>FTES</w:t>
            </w:r>
          </w:p>
        </w:tc>
        <w:tc>
          <w:tcPr>
            <w:tcW w:w="2212" w:type="dxa"/>
          </w:tcPr>
          <w:p w:rsidR="000B1343" w:rsidRPr="00232280" w:rsidRDefault="00256948" w:rsidP="00256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Raise</w:t>
            </w:r>
            <w:r w:rsidR="00655931">
              <w:rPr>
                <w:rFonts w:ascii="Times New Roman" w:hAnsi="Times New Roman" w:cs="Times New Roman"/>
                <w:sz w:val="20"/>
                <w:szCs w:val="20"/>
              </w:rPr>
              <w:t xml:space="preserve"> full time equivalent students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 150 per year, next 5 years.</w:t>
            </w:r>
          </w:p>
        </w:tc>
        <w:tc>
          <w:tcPr>
            <w:tcW w:w="974" w:type="dxa"/>
          </w:tcPr>
          <w:p w:rsidR="000B1343" w:rsidRPr="00232280" w:rsidRDefault="00256948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4,573</w:t>
            </w:r>
          </w:p>
        </w:tc>
        <w:tc>
          <w:tcPr>
            <w:tcW w:w="864" w:type="dxa"/>
          </w:tcPr>
          <w:p w:rsidR="000B1343" w:rsidRPr="00232280" w:rsidRDefault="00256948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4,723</w:t>
            </w:r>
          </w:p>
        </w:tc>
        <w:tc>
          <w:tcPr>
            <w:tcW w:w="1080" w:type="dxa"/>
          </w:tcPr>
          <w:p w:rsidR="000B1343" w:rsidRPr="00232280" w:rsidRDefault="00256948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4,873</w:t>
            </w:r>
          </w:p>
        </w:tc>
        <w:tc>
          <w:tcPr>
            <w:tcW w:w="990" w:type="dxa"/>
          </w:tcPr>
          <w:p w:rsidR="000B1343" w:rsidRPr="00232280" w:rsidRDefault="00256948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5,023</w:t>
            </w:r>
          </w:p>
        </w:tc>
        <w:tc>
          <w:tcPr>
            <w:tcW w:w="990" w:type="dxa"/>
          </w:tcPr>
          <w:p w:rsidR="000B1343" w:rsidRPr="00232280" w:rsidRDefault="00256948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5,173</w:t>
            </w:r>
          </w:p>
        </w:tc>
        <w:tc>
          <w:tcPr>
            <w:tcW w:w="990" w:type="dxa"/>
          </w:tcPr>
          <w:p w:rsidR="000B1343" w:rsidRPr="00232280" w:rsidRDefault="00256948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5,323</w:t>
            </w:r>
          </w:p>
        </w:tc>
      </w:tr>
      <w:tr w:rsidR="000B1343" w:rsidRPr="00232280" w:rsidTr="008B26B4">
        <w:tc>
          <w:tcPr>
            <w:tcW w:w="1170" w:type="dxa"/>
          </w:tcPr>
          <w:p w:rsidR="000B1343" w:rsidRPr="004C4BC3" w:rsidRDefault="00655931" w:rsidP="008B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C3">
              <w:rPr>
                <w:rFonts w:ascii="Times New Roman" w:hAnsi="Times New Roman" w:cs="Times New Roman"/>
                <w:b/>
                <w:sz w:val="20"/>
                <w:szCs w:val="20"/>
              </w:rPr>
              <w:t>Clean Audit</w:t>
            </w:r>
          </w:p>
        </w:tc>
        <w:tc>
          <w:tcPr>
            <w:tcW w:w="2212" w:type="dxa"/>
          </w:tcPr>
          <w:p w:rsidR="000B1343" w:rsidRPr="00232280" w:rsidRDefault="00655931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annual audited financial statements for Peralta CCD indicate no negative findings for BCC.</w:t>
            </w:r>
          </w:p>
        </w:tc>
        <w:tc>
          <w:tcPr>
            <w:tcW w:w="974" w:type="dxa"/>
          </w:tcPr>
          <w:p w:rsidR="000B1343" w:rsidRPr="00232280" w:rsidRDefault="00256948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note related to college practice</w:t>
            </w:r>
          </w:p>
        </w:tc>
        <w:tc>
          <w:tcPr>
            <w:tcW w:w="864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43" w:rsidRPr="00232280" w:rsidTr="008B26B4">
        <w:tc>
          <w:tcPr>
            <w:tcW w:w="1170" w:type="dxa"/>
          </w:tcPr>
          <w:p w:rsidR="000B1343" w:rsidRPr="004C4BC3" w:rsidRDefault="00655931" w:rsidP="008B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C3">
              <w:rPr>
                <w:rFonts w:ascii="Times New Roman" w:hAnsi="Times New Roman" w:cs="Times New Roman"/>
                <w:b/>
                <w:sz w:val="20"/>
                <w:szCs w:val="20"/>
              </w:rPr>
              <w:t>Working BAM</w:t>
            </w:r>
          </w:p>
        </w:tc>
        <w:tc>
          <w:tcPr>
            <w:tcW w:w="2212" w:type="dxa"/>
          </w:tcPr>
          <w:p w:rsidR="000B1343" w:rsidRPr="00232280" w:rsidRDefault="00655931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Peralta CCD budget allocation model is fully operational and sustains the college operations</w:t>
            </w:r>
          </w:p>
        </w:tc>
        <w:tc>
          <w:tcPr>
            <w:tcW w:w="974" w:type="dxa"/>
          </w:tcPr>
          <w:p w:rsidR="000B1343" w:rsidRPr="00232280" w:rsidRDefault="00256948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fully implemented</w:t>
            </w:r>
          </w:p>
        </w:tc>
        <w:tc>
          <w:tcPr>
            <w:tcW w:w="864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B1343" w:rsidRPr="00232280" w:rsidRDefault="000B1343" w:rsidP="008B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1343" w:rsidRDefault="000B1343" w:rsidP="00316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6AA9" w:rsidRDefault="00316AA9" w:rsidP="00316AA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316AA9" w:rsidRDefault="00316AA9" w:rsidP="00316AA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7F0A4E" w:rsidRDefault="009F282C"/>
    <w:sectPr w:rsidR="007F0A4E" w:rsidSect="000B1343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5A9"/>
    <w:multiLevelType w:val="hybridMultilevel"/>
    <w:tmpl w:val="4FF267A6"/>
    <w:lvl w:ilvl="0" w:tplc="34CCC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B2838"/>
    <w:multiLevelType w:val="multilevel"/>
    <w:tmpl w:val="69BE05A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3213C87"/>
    <w:multiLevelType w:val="hybridMultilevel"/>
    <w:tmpl w:val="1674B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D3B96"/>
    <w:multiLevelType w:val="multilevel"/>
    <w:tmpl w:val="4D0EA7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75000A4"/>
    <w:multiLevelType w:val="multilevel"/>
    <w:tmpl w:val="6ABE5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A9"/>
    <w:rsid w:val="00040B64"/>
    <w:rsid w:val="000B1343"/>
    <w:rsid w:val="000B5A20"/>
    <w:rsid w:val="001309B2"/>
    <w:rsid w:val="001F579F"/>
    <w:rsid w:val="00227E2D"/>
    <w:rsid w:val="00256948"/>
    <w:rsid w:val="002F6F0D"/>
    <w:rsid w:val="00316AA9"/>
    <w:rsid w:val="00316B1E"/>
    <w:rsid w:val="0032381A"/>
    <w:rsid w:val="00383327"/>
    <w:rsid w:val="004C4BC3"/>
    <w:rsid w:val="005C37B7"/>
    <w:rsid w:val="00655931"/>
    <w:rsid w:val="00664AC7"/>
    <w:rsid w:val="007F7EED"/>
    <w:rsid w:val="00800CC2"/>
    <w:rsid w:val="00817BDD"/>
    <w:rsid w:val="00883862"/>
    <w:rsid w:val="008853ED"/>
    <w:rsid w:val="008B036A"/>
    <w:rsid w:val="008F6893"/>
    <w:rsid w:val="00911C84"/>
    <w:rsid w:val="009631B7"/>
    <w:rsid w:val="009F282C"/>
    <w:rsid w:val="00A00C7A"/>
    <w:rsid w:val="00A43CB8"/>
    <w:rsid w:val="00AA05B9"/>
    <w:rsid w:val="00CA7832"/>
    <w:rsid w:val="00CC6205"/>
    <w:rsid w:val="00CD101B"/>
    <w:rsid w:val="00D937B9"/>
    <w:rsid w:val="00E6578D"/>
    <w:rsid w:val="00F70F4E"/>
    <w:rsid w:val="00F829DC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A9"/>
    <w:pPr>
      <w:ind w:left="720"/>
      <w:contextualSpacing/>
    </w:pPr>
  </w:style>
  <w:style w:type="table" w:styleId="TableGrid">
    <w:name w:val="Table Grid"/>
    <w:basedOn w:val="TableNormal"/>
    <w:uiPriority w:val="59"/>
    <w:rsid w:val="000B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A9"/>
    <w:pPr>
      <w:ind w:left="720"/>
      <w:contextualSpacing/>
    </w:pPr>
  </w:style>
  <w:style w:type="table" w:styleId="TableGrid">
    <w:name w:val="Table Grid"/>
    <w:basedOn w:val="TableNormal"/>
    <w:uiPriority w:val="59"/>
    <w:rsid w:val="000B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Johns</dc:creator>
  <cp:lastModifiedBy>Cynthia Reese</cp:lastModifiedBy>
  <cp:revision>2</cp:revision>
  <cp:lastPrinted>2016-04-04T00:52:00Z</cp:lastPrinted>
  <dcterms:created xsi:type="dcterms:W3CDTF">2016-04-04T17:51:00Z</dcterms:created>
  <dcterms:modified xsi:type="dcterms:W3CDTF">2016-04-04T17:51:00Z</dcterms:modified>
</cp:coreProperties>
</file>